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A7783" w14:textId="6DCD23B9" w:rsidR="004F455B" w:rsidRPr="004F455B" w:rsidRDefault="004F455B" w:rsidP="004F455B">
      <w:pPr>
        <w:spacing w:before="240" w:after="240" w:line="360" w:lineRule="auto"/>
        <w:ind w:firstLine="709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4F455B">
        <w:rPr>
          <w:rFonts w:ascii="Arial" w:hAnsi="Arial" w:cs="Arial"/>
          <w:i/>
          <w:sz w:val="24"/>
          <w:szCs w:val="24"/>
        </w:rPr>
        <w:t>Załącznik do zarządzenia nr ……/2024</w:t>
      </w:r>
      <w:r w:rsidRPr="004F455B">
        <w:rPr>
          <w:rFonts w:ascii="Arial" w:hAnsi="Arial" w:cs="Arial"/>
          <w:i/>
          <w:sz w:val="24"/>
          <w:szCs w:val="24"/>
        </w:rPr>
        <w:br/>
        <w:t xml:space="preserve">Rektora </w:t>
      </w:r>
      <w:proofErr w:type="spellStart"/>
      <w:r w:rsidRPr="004F455B">
        <w:rPr>
          <w:rFonts w:ascii="Arial" w:hAnsi="Arial" w:cs="Arial"/>
          <w:i/>
          <w:sz w:val="24"/>
          <w:szCs w:val="24"/>
        </w:rPr>
        <w:t>PRz</w:t>
      </w:r>
      <w:proofErr w:type="spellEnd"/>
      <w:r w:rsidRPr="004F455B">
        <w:rPr>
          <w:rFonts w:ascii="Arial" w:hAnsi="Arial" w:cs="Arial"/>
          <w:i/>
          <w:sz w:val="24"/>
          <w:szCs w:val="24"/>
        </w:rPr>
        <w:t xml:space="preserve"> z dnia …….. ……</w:t>
      </w:r>
      <w:r w:rsidR="007A4543">
        <w:rPr>
          <w:rFonts w:ascii="Arial" w:hAnsi="Arial" w:cs="Arial"/>
          <w:i/>
          <w:sz w:val="24"/>
          <w:szCs w:val="24"/>
        </w:rPr>
        <w:t xml:space="preserve"> </w:t>
      </w:r>
      <w:r w:rsidRPr="004F455B">
        <w:rPr>
          <w:rFonts w:ascii="Arial" w:hAnsi="Arial" w:cs="Arial"/>
          <w:i/>
          <w:sz w:val="24"/>
          <w:szCs w:val="24"/>
        </w:rPr>
        <w:t>2024 r.</w:t>
      </w:r>
    </w:p>
    <w:p w14:paraId="1CF41647" w14:textId="77777777" w:rsidR="00B66260" w:rsidRPr="004F455B" w:rsidRDefault="00B66260" w:rsidP="0071183E">
      <w:pPr>
        <w:pStyle w:val="Nagwek1"/>
        <w:spacing w:before="240" w:after="240" w:line="360" w:lineRule="auto"/>
        <w:rPr>
          <w:rFonts w:eastAsiaTheme="majorEastAsia"/>
          <w:b/>
          <w:bCs/>
          <w:sz w:val="24"/>
          <w:szCs w:val="24"/>
          <w:lang w:eastAsia="en-US"/>
        </w:rPr>
      </w:pPr>
      <w:r w:rsidRPr="004F455B">
        <w:rPr>
          <w:rFonts w:eastAsiaTheme="majorEastAsia"/>
          <w:b/>
          <w:bCs/>
          <w:sz w:val="24"/>
          <w:szCs w:val="24"/>
          <w:lang w:eastAsia="en-US"/>
        </w:rPr>
        <w:t>Regulamin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br/>
        <w:t>konkursu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„INNOSPIN</w:t>
      </w:r>
      <w:r w:rsidR="008C3E55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EDYCJA 2024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”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–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proofErr w:type="spellStart"/>
      <w:r w:rsidRPr="004F455B">
        <w:rPr>
          <w:rFonts w:eastAsiaTheme="majorEastAsia"/>
          <w:b/>
          <w:bCs/>
          <w:sz w:val="24"/>
          <w:szCs w:val="24"/>
          <w:lang w:eastAsia="en-US"/>
        </w:rPr>
        <w:t>demonstratory</w:t>
      </w:r>
      <w:proofErr w:type="spellEnd"/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dla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międzyuczelnianych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zespołów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badawczych</w:t>
      </w:r>
      <w:r w:rsidR="00D827AE" w:rsidRPr="004F455B">
        <w:rPr>
          <w:rFonts w:eastAsiaTheme="majorEastAsia"/>
          <w:b/>
          <w:bCs/>
          <w:sz w:val="24"/>
          <w:szCs w:val="24"/>
          <w:lang w:eastAsia="en-US"/>
        </w:rPr>
        <w:t>,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organizowanego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przez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Uczelnie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Partnerskie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w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ramach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Politechnicznej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Sieci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VIA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CARPATIA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im.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Prezydenta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RP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Lecha</w:t>
      </w:r>
      <w:r w:rsidR="0071183E" w:rsidRPr="004F455B">
        <w:rPr>
          <w:rFonts w:eastAsiaTheme="majorEastAsia"/>
          <w:b/>
          <w:bCs/>
          <w:sz w:val="24"/>
          <w:szCs w:val="24"/>
          <w:lang w:eastAsia="en-US"/>
        </w:rPr>
        <w:t xml:space="preserve"> </w:t>
      </w:r>
      <w:r w:rsidRPr="004F455B">
        <w:rPr>
          <w:rFonts w:eastAsiaTheme="majorEastAsia"/>
          <w:b/>
          <w:bCs/>
          <w:sz w:val="24"/>
          <w:szCs w:val="24"/>
          <w:lang w:eastAsia="en-US"/>
        </w:rPr>
        <w:t>Kaczyńskiego</w:t>
      </w:r>
      <w:r w:rsidR="0004062F" w:rsidRPr="004F455B">
        <w:rPr>
          <w:rFonts w:eastAsiaTheme="majorEastAsia"/>
          <w:b/>
          <w:bCs/>
          <w:sz w:val="24"/>
          <w:szCs w:val="24"/>
          <w:lang w:eastAsia="en-US"/>
        </w:rPr>
        <w:t>.</w:t>
      </w:r>
    </w:p>
    <w:p w14:paraId="6A4B4E08" w14:textId="77777777" w:rsidR="00B66260" w:rsidRPr="004F455B" w:rsidRDefault="00B66260" w:rsidP="00ED49E2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F455B">
        <w:rPr>
          <w:rFonts w:ascii="Arial" w:eastAsia="Arial" w:hAnsi="Arial" w:cs="Arial"/>
          <w:b/>
          <w:sz w:val="24"/>
          <w:szCs w:val="24"/>
        </w:rPr>
        <w:t>§</w:t>
      </w:r>
      <w:r w:rsidR="0071183E" w:rsidRPr="004F455B">
        <w:rPr>
          <w:rFonts w:ascii="Arial" w:eastAsia="Arial" w:hAnsi="Arial" w:cs="Arial"/>
          <w:b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/>
          <w:sz w:val="24"/>
          <w:szCs w:val="24"/>
        </w:rPr>
        <w:t>1.</w:t>
      </w:r>
    </w:p>
    <w:p w14:paraId="65FD8523" w14:textId="77777777" w:rsidR="00B66260" w:rsidRPr="004F455B" w:rsidRDefault="00B66260" w:rsidP="00ED49E2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F455B">
        <w:rPr>
          <w:rFonts w:ascii="Arial" w:eastAsia="Arial" w:hAnsi="Arial" w:cs="Arial"/>
          <w:b/>
          <w:sz w:val="24"/>
          <w:szCs w:val="24"/>
        </w:rPr>
        <w:t>Definicje</w:t>
      </w:r>
    </w:p>
    <w:p w14:paraId="49E96FB3" w14:textId="77777777" w:rsidR="00B66260" w:rsidRPr="004F455B" w:rsidRDefault="00B66260" w:rsidP="0071183E">
      <w:pPr>
        <w:spacing w:before="240" w:after="240" w:line="36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Używane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niniejszym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Regulaminie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pojęcia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oznaczają:</w:t>
      </w:r>
    </w:p>
    <w:p w14:paraId="1B6EF3A8" w14:textId="1D5F6A5F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CTT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Centrum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Transferu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Technologii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albo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inny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podmiot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równoważny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powołany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27AE" w:rsidRPr="004F455B">
        <w:rPr>
          <w:rFonts w:ascii="Arial" w:eastAsia="Arial" w:hAnsi="Arial" w:cs="Arial"/>
          <w:color w:val="000000" w:themeColor="text1"/>
          <w:sz w:val="24"/>
          <w:szCs w:val="24"/>
        </w:rPr>
        <w:t>do 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komercjalizacji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wyników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badań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naukowych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danej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Uczelni,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zgodnie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ustawą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Prawo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szkolnictwie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wyższym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nauce</w:t>
      </w:r>
      <w:r w:rsidRPr="004F455B">
        <w:rPr>
          <w:rFonts w:ascii="Arial" w:eastAsia="Arial" w:hAnsi="Arial" w:cs="Arial"/>
          <w:sz w:val="24"/>
          <w:szCs w:val="24"/>
        </w:rPr>
        <w:t>;</w:t>
      </w:r>
    </w:p>
    <w:p w14:paraId="0A862E67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Uczelnie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Partnerskie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-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Politechnika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Rzeszowska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im.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Ignacego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Łukasiewicza,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Politechnika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Lubelska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oraz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Politechnika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Białostocka;</w:t>
      </w:r>
    </w:p>
    <w:p w14:paraId="58AEEC00" w14:textId="341A9AE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Zadanie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zlecone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zadanie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C3E55" w:rsidRPr="004F455B">
        <w:rPr>
          <w:rFonts w:ascii="Arial" w:eastAsia="Arial" w:hAnsi="Arial" w:cs="Arial"/>
          <w:color w:val="000000" w:themeColor="text1"/>
          <w:sz w:val="24"/>
          <w:szCs w:val="24"/>
        </w:rPr>
        <w:t>finansowane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C3E55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w ramach zlecenia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Ministra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Nauki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pn.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>„Po</w:t>
      </w:r>
      <w:r w:rsidR="0071183E"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litechniczna Sieć VIA CARPATIA im. Prezydenta RP </w:t>
      </w:r>
      <w:r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>Lecha</w:t>
      </w:r>
      <w:r w:rsidR="0071183E"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>Kaczyńskiego</w:t>
      </w:r>
      <w:r w:rsidR="0071183E"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>” w latach 2022-2025, kwota finansowania 10 990 546 zł</w:t>
      </w:r>
      <w:r w:rsidR="004F455B">
        <w:rPr>
          <w:rFonts w:ascii="Arial" w:eastAsia="Arial" w:hAnsi="Arial" w:cs="Arial"/>
          <w:i/>
          <w:color w:val="000000" w:themeColor="text1"/>
          <w:sz w:val="24"/>
          <w:szCs w:val="24"/>
        </w:rPr>
        <w:t>,</w:t>
      </w:r>
      <w:r w:rsidR="0071183E" w:rsidRPr="004F455B">
        <w:rPr>
          <w:rFonts w:ascii="Arial" w:eastAsia="Arial" w:hAnsi="Arial" w:cs="Arial"/>
          <w:i/>
          <w:color w:val="000000" w:themeColor="text1"/>
          <w:sz w:val="24"/>
          <w:szCs w:val="24"/>
        </w:rPr>
        <w:t xml:space="preserve"> </w:t>
      </w:r>
      <w:r w:rsidR="008C3E55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umowa nr </w:t>
      </w:r>
      <w:proofErr w:type="spellStart"/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MEiN</w:t>
      </w:r>
      <w:proofErr w:type="spellEnd"/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/2022/DPI/2578;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9A099E3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Komercjalizacja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działania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podejmowane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przez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CTT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polegające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udostępnieniu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innym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podmiotom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wyników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prac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badawczych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rozwojowych,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celu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uzyskania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korzyści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majątkowych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przez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Uczelnię;</w:t>
      </w:r>
    </w:p>
    <w:p w14:paraId="313C63CC" w14:textId="0F89F012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Zespół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Badawczy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-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zespół,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skład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którego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wchodzi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co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najmniej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3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osoby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spośród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pracowników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badawczych,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badawczo-dydaktycznych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lub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inżynieryjno-technicznych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="00D827A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z 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Uczelni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Partnerskich.</w:t>
      </w:r>
      <w:r w:rsidR="0071183E" w:rsidRPr="004F455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Ponadto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skład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Zespołu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Badawczego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mogą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wchodzić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Doktoranci,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Studenci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oraz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pracownicy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dydaktyczni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Uczelni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Partnerskich.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skład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Zespołu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Badawczego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mogą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również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wchodzić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osoby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niezwiązane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Uczelnią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Partnerską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stosunkiem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pracy,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których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udział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jest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niezbędny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realizacji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zadań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projektowych,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pod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warunkiem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przeniesienia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lastRenderedPageBreak/>
        <w:t>autorskich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majątkowych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oraz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własności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przemysłowej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Uczelnię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Partnerską,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której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zatrudniony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jest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Lider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Zespołu;</w:t>
      </w:r>
    </w:p>
    <w:p w14:paraId="74CD43C6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Lider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Zespołu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pracownik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badawczy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lub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badawczo-dydaktyczny,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członek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Zespołu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Badawczego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będący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pracownikiem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Uczelni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Partnerskiej,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kierujący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pracami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Zespołu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Badawczego;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</w:p>
    <w:p w14:paraId="01AE0BC1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Prace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przedwdrożeniowe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działania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mające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celu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doprowadzenie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komercjalizacji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wyników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badań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naukowych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prac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rozwojowych</w:t>
      </w:r>
      <w:r w:rsidR="00D827AE" w:rsidRPr="004F455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realizowane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ramach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Projektu;</w:t>
      </w:r>
      <w:r w:rsidR="0071183E" w:rsidRPr="004F455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14:paraId="0D05924E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Projekt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praca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badawczo-rozwojowa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zmierzająca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podwyższenia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poziomu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gotowości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technologicznej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technologii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lub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produktu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przeznaczonego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komercjalizacji,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realizowana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30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listopada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8C3E55" w:rsidRPr="004F455B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roku;</w:t>
      </w:r>
    </w:p>
    <w:p w14:paraId="29CA6DBE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Doktoranci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osoby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kształcące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się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Szkole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Doktorskiej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lub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uczestnicy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studiów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doktoranckich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prowadzonych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przez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Uczelnię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Partnerską;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5E0CD5B" w14:textId="77777777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Studenci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osoby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kształcące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się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studiach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wyższych,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tj.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stacjonarnych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bądź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niestacjonarnych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studiach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pierwszego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lub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drugiego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stopnia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prowadzonych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przez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Uczelnię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Partnerską;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C33079F" w14:textId="528BE605" w:rsidR="00B66260" w:rsidRPr="004F455B" w:rsidRDefault="00B66260" w:rsidP="0071183E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Formularz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zgłoszeniowy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formularz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zgłoszeniowy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stanowiący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Załącznik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nr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71183E" w:rsidRPr="004F455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27AE" w:rsidRPr="004F455B">
        <w:rPr>
          <w:rFonts w:ascii="Arial" w:eastAsia="Arial" w:hAnsi="Arial" w:cs="Arial"/>
          <w:color w:val="000000" w:themeColor="text1"/>
          <w:sz w:val="24"/>
          <w:szCs w:val="24"/>
        </w:rPr>
        <w:t>do </w:t>
      </w:r>
      <w:r w:rsidRPr="004F455B">
        <w:rPr>
          <w:rFonts w:ascii="Arial" w:eastAsia="Arial" w:hAnsi="Arial" w:cs="Arial"/>
          <w:color w:val="000000" w:themeColor="text1"/>
          <w:sz w:val="24"/>
          <w:szCs w:val="24"/>
        </w:rPr>
        <w:t>Regulaminu;</w:t>
      </w:r>
    </w:p>
    <w:p w14:paraId="7E07CFAA" w14:textId="70E647A1" w:rsidR="00ED49E2" w:rsidRPr="004F455B" w:rsidRDefault="00B66260" w:rsidP="004F455B">
      <w:pPr>
        <w:pStyle w:val="Akapitzlist"/>
        <w:numPr>
          <w:ilvl w:val="0"/>
          <w:numId w:val="10"/>
        </w:numPr>
        <w:spacing w:before="240" w:after="240" w:line="360" w:lineRule="auto"/>
        <w:ind w:left="567" w:hanging="425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sz w:val="24"/>
          <w:szCs w:val="24"/>
        </w:rPr>
        <w:t>Komisja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konkursowa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–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zespół,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skład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którego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wchodzi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co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najmniej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6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osób,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tym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co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najmniej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2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osoby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spośród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kadry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naukowej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każdej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Uczelni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Partnerskich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oraz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Prorektor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Politechniki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Rzeszowskiej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ds.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rozwoju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i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współpracy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z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otoczeniem,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jako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Przewodniczący</w:t>
      </w:r>
      <w:r w:rsidR="0071183E" w:rsidRPr="004F455B">
        <w:rPr>
          <w:rFonts w:ascii="Arial" w:eastAsia="Arial" w:hAnsi="Arial" w:cs="Arial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sz w:val="24"/>
          <w:szCs w:val="24"/>
        </w:rPr>
        <w:t>komisji.</w:t>
      </w:r>
    </w:p>
    <w:p w14:paraId="0CB69C1B" w14:textId="77777777" w:rsidR="00ED49E2" w:rsidRPr="004F455B" w:rsidRDefault="00ED49E2" w:rsidP="00ED49E2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§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2.</w:t>
      </w:r>
    </w:p>
    <w:p w14:paraId="548F6849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Postanowienia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ogólne</w:t>
      </w:r>
    </w:p>
    <w:p w14:paraId="1CA0A65E" w14:textId="77777777" w:rsidR="00B66260" w:rsidRPr="004F455B" w:rsidRDefault="00B66260" w:rsidP="0071183E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6" w:hanging="426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auto"/>
        </w:rPr>
        <w:t>Niniejszy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Regulamin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określa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warunki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uczestnictwa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Działaniu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10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Zadania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zleconego,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71183E" w:rsidRPr="004F455B">
        <w:rPr>
          <w:rFonts w:ascii="Arial" w:eastAsia="Arial" w:hAnsi="Arial" w:cs="Arial"/>
          <w:color w:val="auto"/>
        </w:rPr>
        <w:br/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ramach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konkursu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„INNOSPIN</w:t>
      </w:r>
      <w:r w:rsidR="00AF54DD" w:rsidRPr="004F455B">
        <w:rPr>
          <w:rFonts w:ascii="Arial" w:eastAsia="Arial" w:hAnsi="Arial" w:cs="Arial"/>
          <w:color w:val="auto"/>
        </w:rPr>
        <w:t xml:space="preserve"> EDYCJA 2024</w:t>
      </w:r>
      <w:r w:rsidRPr="004F455B">
        <w:rPr>
          <w:rFonts w:ascii="Arial" w:eastAsia="Arial" w:hAnsi="Arial" w:cs="Arial"/>
          <w:color w:val="auto"/>
        </w:rPr>
        <w:t>”,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realizowanego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wspólnie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Partnerskie,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polegającego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wsparciu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przedwdrożeniowych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skutkujących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stworzeniem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demonstratorów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dla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międzyuczelnianych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zespołów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badawczych</w:t>
      </w:r>
      <w:r w:rsidR="00A302DD" w:rsidRPr="004F455B">
        <w:rPr>
          <w:rFonts w:ascii="Arial" w:eastAsia="Arial" w:hAnsi="Arial" w:cs="Arial"/>
          <w:color w:val="auto"/>
        </w:rPr>
        <w:t xml:space="preserve"> (dalej: Konkurs)</w:t>
      </w:r>
      <w:r w:rsidRPr="004F455B">
        <w:rPr>
          <w:rFonts w:ascii="Arial" w:eastAsia="Arial" w:hAnsi="Arial" w:cs="Arial"/>
          <w:color w:val="auto"/>
        </w:rPr>
        <w:t>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</w:p>
    <w:p w14:paraId="5A1B2290" w14:textId="77777777" w:rsidR="00B66260" w:rsidRPr="004F455B" w:rsidRDefault="00B66260" w:rsidP="0071183E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6" w:hanging="426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</w:rPr>
        <w:t>Jednostką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realizującą</w:t>
      </w:r>
      <w:r w:rsidR="0071183E" w:rsidRPr="004F455B">
        <w:rPr>
          <w:rFonts w:ascii="Arial" w:eastAsia="Arial" w:hAnsi="Arial" w:cs="Arial"/>
        </w:rPr>
        <w:t xml:space="preserve"> </w:t>
      </w:r>
      <w:r w:rsidR="00A302DD" w:rsidRPr="004F455B">
        <w:rPr>
          <w:rFonts w:ascii="Arial" w:eastAsia="Arial" w:hAnsi="Arial" w:cs="Arial"/>
        </w:rPr>
        <w:t xml:space="preserve">Konkurs </w:t>
      </w:r>
      <w:r w:rsidRPr="004F455B">
        <w:rPr>
          <w:rFonts w:ascii="Arial" w:eastAsia="Arial" w:hAnsi="Arial" w:cs="Arial"/>
        </w:rPr>
        <w:t>wewnątrz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Uczelni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Partnerskiej,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która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zapewnia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jego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kompleksową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obsługę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organizacyjno-administracyjną,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jest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CTT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Uczelni</w:t>
      </w:r>
      <w:r w:rsidR="0071183E" w:rsidRPr="004F455B">
        <w:rPr>
          <w:rFonts w:ascii="Arial" w:eastAsia="Arial" w:hAnsi="Arial" w:cs="Arial"/>
        </w:rPr>
        <w:t xml:space="preserve"> </w:t>
      </w:r>
      <w:r w:rsidRPr="004F455B">
        <w:rPr>
          <w:rFonts w:ascii="Arial" w:eastAsia="Arial" w:hAnsi="Arial" w:cs="Arial"/>
        </w:rPr>
        <w:t>Partnerskiej.</w:t>
      </w:r>
      <w:r w:rsidR="0071183E" w:rsidRPr="004F455B">
        <w:rPr>
          <w:rFonts w:ascii="Arial" w:eastAsia="Arial" w:hAnsi="Arial" w:cs="Arial"/>
        </w:rPr>
        <w:t xml:space="preserve"> </w:t>
      </w:r>
    </w:p>
    <w:p w14:paraId="5E09D3EA" w14:textId="77777777" w:rsidR="00A302DD" w:rsidRPr="004F455B" w:rsidRDefault="00B66260" w:rsidP="00A302DD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Głównym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celem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Konkursu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jest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promocja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komercjalizacja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wyników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badań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naukowych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br/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rozwojowych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jego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uczestników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oraz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nawiązywanie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współpracy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otoczeniem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społeczno-gospodarczym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Partnerskiej.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</w:p>
    <w:p w14:paraId="3A139D89" w14:textId="5C043764" w:rsidR="00A302DD" w:rsidRPr="004F455B" w:rsidRDefault="00A302DD" w:rsidP="00A302DD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hAnsi="Arial" w:cs="Arial"/>
        </w:rPr>
        <w:t xml:space="preserve">Konkurs będzie realizowany pod warunkiem potwierdzenia przez Ministerstwo Nauki </w:t>
      </w:r>
      <w:r w:rsidR="00D827AE" w:rsidRPr="004F455B">
        <w:rPr>
          <w:rFonts w:ascii="Arial" w:hAnsi="Arial" w:cs="Arial"/>
        </w:rPr>
        <w:t>i </w:t>
      </w:r>
      <w:r w:rsidRPr="004F455B">
        <w:rPr>
          <w:rFonts w:ascii="Arial" w:hAnsi="Arial" w:cs="Arial"/>
        </w:rPr>
        <w:t xml:space="preserve">Szkolnictwa Wyższego realizacji Zadania zleconego w 2024 r. i otrzymania przez Uczelnie Partnerskie środków na realizację Konkursu. </w:t>
      </w:r>
    </w:p>
    <w:p w14:paraId="22AECC33" w14:textId="75D8FB3C" w:rsidR="00B66260" w:rsidRPr="004F455B" w:rsidRDefault="00A302DD" w:rsidP="00A302DD">
      <w:pPr>
        <w:pStyle w:val="Default"/>
        <w:numPr>
          <w:ilvl w:val="0"/>
          <w:numId w:val="6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 xml:space="preserve">W przypadku niepotwierdzenia </w:t>
      </w:r>
      <w:r w:rsidRPr="004F455B">
        <w:rPr>
          <w:rFonts w:ascii="Arial" w:hAnsi="Arial" w:cs="Arial"/>
        </w:rPr>
        <w:t xml:space="preserve">przez Ministerstwo Nauki i Szkolnictwa Wyższego realizacji Zadania zleconego w 2024 r. i nieotrzymania przez Uczelnie Partnerskie środków na realizację Konkursu, Konkurs zostanie odwołany, a uczestnicy Konkursy nie będą mieli </w:t>
      </w:r>
      <w:r w:rsidR="00D827AE" w:rsidRPr="004F455B">
        <w:rPr>
          <w:rFonts w:ascii="Arial" w:hAnsi="Arial" w:cs="Arial"/>
        </w:rPr>
        <w:t xml:space="preserve">żadnych </w:t>
      </w:r>
      <w:r w:rsidRPr="004F455B">
        <w:rPr>
          <w:rFonts w:ascii="Arial" w:hAnsi="Arial" w:cs="Arial"/>
        </w:rPr>
        <w:t xml:space="preserve">roszczeń z tego tytułu do Uczelni Partnerskich. </w:t>
      </w:r>
    </w:p>
    <w:p w14:paraId="26DC7C79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§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3.</w:t>
      </w:r>
    </w:p>
    <w:p w14:paraId="739FED6B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Przedmiot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zgłoszenia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w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ramach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Konkursu</w:t>
      </w:r>
    </w:p>
    <w:p w14:paraId="59641C4D" w14:textId="77777777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auto"/>
        </w:rPr>
        <w:t>Przedmiotem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zgłoszenia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Konkursu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wszelkie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gospodarczo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użyteczne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wyniki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badań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naukowych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lub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rozwojowych,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uzyskane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Partnerskiej,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które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zostały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dotychczas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skomercjalizowane.</w:t>
      </w:r>
    </w:p>
    <w:p w14:paraId="709EAEAE" w14:textId="77777777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auto"/>
        </w:rPr>
        <w:t>Maksymalna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kwota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dofinansowania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przewidziana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dla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Zespołu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Badawczego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wynosi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D827AE" w:rsidRPr="004F455B">
        <w:rPr>
          <w:rFonts w:ascii="Arial" w:eastAsia="Arial" w:hAnsi="Arial" w:cs="Arial"/>
          <w:color w:val="auto"/>
        </w:rPr>
        <w:t>100 </w:t>
      </w:r>
      <w:r w:rsidRPr="004F455B">
        <w:rPr>
          <w:rFonts w:ascii="Arial" w:eastAsia="Arial" w:hAnsi="Arial" w:cs="Arial"/>
          <w:color w:val="auto"/>
        </w:rPr>
        <w:t>000,00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(słownie: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sto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tysięcy)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złotych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brutto</w:t>
      </w:r>
      <w:r w:rsidR="000A3542" w:rsidRPr="004F455B">
        <w:rPr>
          <w:rFonts w:ascii="Arial" w:eastAsia="Arial" w:hAnsi="Arial" w:cs="Arial"/>
          <w:color w:val="auto"/>
        </w:rPr>
        <w:t>, przy czym</w:t>
      </w:r>
      <w:r w:rsidR="008C3E55" w:rsidRPr="004F455B">
        <w:rPr>
          <w:rFonts w:ascii="Arial" w:eastAsia="Arial" w:hAnsi="Arial" w:cs="Arial"/>
          <w:color w:val="auto"/>
        </w:rPr>
        <w:t xml:space="preserve"> </w:t>
      </w:r>
      <w:r w:rsidR="000A3542" w:rsidRPr="004F455B">
        <w:rPr>
          <w:rFonts w:ascii="Arial" w:eastAsia="Arial" w:hAnsi="Arial" w:cs="Arial"/>
          <w:color w:val="auto"/>
        </w:rPr>
        <w:t>d</w:t>
      </w:r>
      <w:r w:rsidR="008C3E55" w:rsidRPr="004F455B">
        <w:rPr>
          <w:rFonts w:ascii="Arial" w:eastAsia="Arial" w:hAnsi="Arial" w:cs="Arial"/>
          <w:color w:val="auto"/>
        </w:rPr>
        <w:t>opuszcza się</w:t>
      </w:r>
      <w:r w:rsidR="000A3542" w:rsidRPr="004F455B">
        <w:rPr>
          <w:rFonts w:ascii="Arial" w:eastAsia="Arial" w:hAnsi="Arial" w:cs="Arial"/>
          <w:color w:val="auto"/>
        </w:rPr>
        <w:t xml:space="preserve"> możliwość zgłoszenia do Konkursu Projektu, którego wnioskowany zakres dofinansowania będzie wynosił mniej niż </w:t>
      </w:r>
      <w:r w:rsidR="00D827AE" w:rsidRPr="004F455B">
        <w:rPr>
          <w:rFonts w:ascii="Arial" w:eastAsia="Arial" w:hAnsi="Arial" w:cs="Arial"/>
          <w:color w:val="auto"/>
        </w:rPr>
        <w:t>100 </w:t>
      </w:r>
      <w:r w:rsidR="000A3542" w:rsidRPr="004F455B">
        <w:rPr>
          <w:rFonts w:ascii="Arial" w:eastAsia="Arial" w:hAnsi="Arial" w:cs="Arial"/>
          <w:color w:val="auto"/>
        </w:rPr>
        <w:t>000,00 (słownie: sto tysięcy) złotych brutto (przykładowo</w:t>
      </w:r>
      <w:r w:rsidR="008C3E55" w:rsidRPr="004F455B">
        <w:rPr>
          <w:rFonts w:ascii="Arial" w:eastAsia="Arial" w:hAnsi="Arial" w:cs="Arial"/>
          <w:color w:val="auto"/>
        </w:rPr>
        <w:t xml:space="preserve"> dwa wnioski po </w:t>
      </w:r>
      <w:r w:rsidR="00D827AE" w:rsidRPr="004F455B">
        <w:rPr>
          <w:rFonts w:ascii="Arial" w:eastAsia="Arial" w:hAnsi="Arial" w:cs="Arial"/>
          <w:color w:val="auto"/>
        </w:rPr>
        <w:t>50 </w:t>
      </w:r>
      <w:r w:rsidR="008C3E55" w:rsidRPr="004F455B">
        <w:rPr>
          <w:rFonts w:ascii="Arial" w:eastAsia="Arial" w:hAnsi="Arial" w:cs="Arial"/>
          <w:color w:val="auto"/>
        </w:rPr>
        <w:t>000 (słownie: pięćdziesiąt tysięcy) złotych brutto</w:t>
      </w:r>
      <w:r w:rsidR="000A3542" w:rsidRPr="004F455B">
        <w:rPr>
          <w:rFonts w:ascii="Arial" w:eastAsia="Arial" w:hAnsi="Arial" w:cs="Arial"/>
          <w:color w:val="auto"/>
        </w:rPr>
        <w:t>)</w:t>
      </w:r>
      <w:r w:rsidR="008C3E55" w:rsidRPr="004F455B">
        <w:rPr>
          <w:rFonts w:ascii="Arial" w:eastAsia="Arial" w:hAnsi="Arial" w:cs="Arial"/>
          <w:color w:val="auto"/>
        </w:rPr>
        <w:t>.</w:t>
      </w:r>
      <w:r w:rsidR="000A3542" w:rsidRPr="004F455B">
        <w:rPr>
          <w:rFonts w:ascii="Arial" w:eastAsia="Arial" w:hAnsi="Arial" w:cs="Arial"/>
          <w:color w:val="auto"/>
        </w:rPr>
        <w:t xml:space="preserve"> W każdym jednak przypadku łączna kwota dofinansowania przewidziana dla Zespołów Badawczych nie przekroczy </w:t>
      </w:r>
      <w:r w:rsidR="00D827AE" w:rsidRPr="004F455B">
        <w:rPr>
          <w:rFonts w:ascii="Arial" w:eastAsia="Arial" w:hAnsi="Arial" w:cs="Arial"/>
          <w:color w:val="auto"/>
        </w:rPr>
        <w:t>100 </w:t>
      </w:r>
      <w:r w:rsidR="000A3542" w:rsidRPr="004F455B">
        <w:rPr>
          <w:rFonts w:ascii="Arial" w:eastAsia="Arial" w:hAnsi="Arial" w:cs="Arial"/>
          <w:color w:val="auto"/>
        </w:rPr>
        <w:t xml:space="preserve">000,00 (słownie: sto tysięcy) złotych brutto. </w:t>
      </w:r>
    </w:p>
    <w:p w14:paraId="12A03AF5" w14:textId="77777777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bCs/>
          <w:color w:val="auto"/>
        </w:rPr>
      </w:pPr>
      <w:r w:rsidRPr="004F455B">
        <w:rPr>
          <w:rFonts w:ascii="Arial" w:eastAsia="Arial" w:hAnsi="Arial" w:cs="Arial"/>
          <w:bCs/>
          <w:color w:val="auto"/>
        </w:rPr>
        <w:t>Przedmiotem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zgłoszenia,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którym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mowa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ust.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1,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mogą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być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wyniki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badań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lub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prac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rozwojowych,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co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do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których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prawa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własności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przemysłowej,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także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autorskie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prawa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majątkowe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należą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do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Uczelni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Partnerskiej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całości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lub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części,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ile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Uczelnia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Partnerska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jest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uprawniona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do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ich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komercjalizacji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na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podstawie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umowy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z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pozostałymi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współuprawnionymi.</w:t>
      </w:r>
    </w:p>
    <w:p w14:paraId="2802724B" w14:textId="159395D2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12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etapie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ubiegania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się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wsparcie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ramach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Konkursu,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Zespół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Badawczy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przedstawia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B45E13" w:rsidRPr="004F455B">
        <w:rPr>
          <w:rFonts w:ascii="Arial" w:eastAsia="Arial" w:hAnsi="Arial" w:cs="Arial"/>
          <w:color w:val="auto"/>
        </w:rPr>
        <w:t>w </w:t>
      </w:r>
      <w:r w:rsidRPr="004F455B">
        <w:rPr>
          <w:rFonts w:ascii="Arial" w:eastAsia="Arial" w:hAnsi="Arial" w:cs="Arial"/>
          <w:color w:val="auto"/>
        </w:rPr>
        <w:t>Formularzu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zgłoszeniowym,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szczególności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następujące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informacje:</w:t>
      </w:r>
    </w:p>
    <w:p w14:paraId="00E75DF3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określenie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potrzeby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rynkowej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uzasadniającej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realizację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przedwdrożeniowych;</w:t>
      </w:r>
    </w:p>
    <w:p w14:paraId="470BD751" w14:textId="19C38984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określenie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poziomu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gotowości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technologii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(na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podstawie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kryteriów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wynikających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br/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rozporządzenia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Ministra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Nauki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Szkolnictwa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Wyższego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28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sierpnia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2020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B45E13" w:rsidRPr="004F455B">
        <w:rPr>
          <w:rFonts w:ascii="Arial" w:eastAsia="Arial" w:hAnsi="Arial" w:cs="Arial"/>
          <w:color w:val="auto"/>
        </w:rPr>
        <w:t>w </w:t>
      </w:r>
      <w:r w:rsidRPr="004F455B">
        <w:rPr>
          <w:rFonts w:ascii="Arial" w:eastAsia="Arial" w:hAnsi="Arial" w:cs="Arial"/>
          <w:color w:val="auto"/>
        </w:rPr>
        <w:t>sprawie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zadań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Narodowego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Centrum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Badań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Rozwoju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związanych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badań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naukowych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lub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rozwojowych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rzecz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obronności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bezpieczeństwa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państwa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(Dz.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2020,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poz.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1495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proofErr w:type="spellStart"/>
      <w:r w:rsidRPr="004F455B">
        <w:rPr>
          <w:rFonts w:ascii="Arial" w:eastAsia="Arial" w:hAnsi="Arial" w:cs="Arial"/>
          <w:color w:val="auto"/>
        </w:rPr>
        <w:t>późn</w:t>
      </w:r>
      <w:proofErr w:type="spellEnd"/>
      <w:r w:rsidRPr="004F455B">
        <w:rPr>
          <w:rFonts w:ascii="Arial" w:eastAsia="Arial" w:hAnsi="Arial" w:cs="Arial"/>
          <w:color w:val="auto"/>
        </w:rPr>
        <w:t>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zm.));</w:t>
      </w:r>
    </w:p>
    <w:p w14:paraId="2C50266E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określenie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rynku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docelowego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dla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wyniku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przeprowadzonych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przedwdrożeniowych;</w:t>
      </w:r>
    </w:p>
    <w:p w14:paraId="19DF0D66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auto"/>
        </w:rPr>
        <w:t>skład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Zespołu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Badawczego;</w:t>
      </w:r>
    </w:p>
    <w:p w14:paraId="1D11C7D1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planowana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ścieżka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komercjalizacji;</w:t>
      </w:r>
    </w:p>
    <w:p w14:paraId="4E2B5486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kosztorys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projektu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(załącznik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1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Regulaminu);</w:t>
      </w:r>
    </w:p>
    <w:p w14:paraId="6F5669F9" w14:textId="77777777" w:rsidR="00B66260" w:rsidRPr="004F455B" w:rsidRDefault="00B66260" w:rsidP="0071183E">
      <w:pPr>
        <w:pStyle w:val="Default"/>
        <w:numPr>
          <w:ilvl w:val="1"/>
          <w:numId w:val="11"/>
        </w:numPr>
        <w:tabs>
          <w:tab w:val="left" w:pos="851"/>
        </w:tabs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okres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projektu.</w:t>
      </w:r>
    </w:p>
    <w:p w14:paraId="612C78BB" w14:textId="77777777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Ocenę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formalną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zgłoszenia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przeprowadza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CTT.</w:t>
      </w:r>
    </w:p>
    <w:p w14:paraId="022080C5" w14:textId="16F700B4" w:rsidR="00B66260" w:rsidRPr="004F455B" w:rsidRDefault="00B66260" w:rsidP="0071183E">
      <w:pPr>
        <w:pStyle w:val="Default"/>
        <w:numPr>
          <w:ilvl w:val="0"/>
          <w:numId w:val="7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Autorskie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majątkowe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wszystkich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utworów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powstałych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związku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Projektu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zgodnie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ustawą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4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lutego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1994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autorskim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prawach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pokrewnych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(</w:t>
      </w:r>
      <w:proofErr w:type="spellStart"/>
      <w:r w:rsidRPr="004F455B">
        <w:rPr>
          <w:rFonts w:ascii="Arial" w:eastAsia="Arial" w:hAnsi="Arial" w:cs="Arial"/>
          <w:color w:val="auto"/>
        </w:rPr>
        <w:t>t.j</w:t>
      </w:r>
      <w:proofErr w:type="spellEnd"/>
      <w:r w:rsidRPr="004F455B">
        <w:rPr>
          <w:rFonts w:ascii="Arial" w:eastAsia="Arial" w:hAnsi="Arial" w:cs="Arial"/>
          <w:color w:val="auto"/>
        </w:rPr>
        <w:t>.: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Dz.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2022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r.,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poz.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2509)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własnością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tej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Partnerskiej,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br/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której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jest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realizowany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Projekt,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ramach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którego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został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opracowany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dany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utwór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B45E13" w:rsidRPr="004F455B">
        <w:rPr>
          <w:rFonts w:ascii="Arial" w:eastAsia="Arial" w:hAnsi="Arial" w:cs="Arial"/>
          <w:color w:val="auto"/>
        </w:rPr>
        <w:t>na </w:t>
      </w:r>
      <w:r w:rsidRPr="004F455B">
        <w:rPr>
          <w:rFonts w:ascii="Arial" w:eastAsia="Arial" w:hAnsi="Arial" w:cs="Arial"/>
          <w:color w:val="auto"/>
        </w:rPr>
        <w:t>podstawie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umów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zawartych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członkami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Zespołu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Badawczego,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szczególności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umów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br/>
        <w:t>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pracę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oraz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umów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przeniesienie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zobowiązane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przenieść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rzecz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Ministra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Nauki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autorskie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majątkowe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wszystkich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utworów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powstałych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związku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realizacją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projektu,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zgodnie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postanowieniami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umowy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="00051694" w:rsidRPr="004F455B">
        <w:rPr>
          <w:rFonts w:ascii="Arial" w:eastAsia="Arial" w:hAnsi="Arial" w:cs="Arial"/>
          <w:color w:val="auto"/>
        </w:rPr>
        <w:t xml:space="preserve">nr </w:t>
      </w:r>
      <w:proofErr w:type="spellStart"/>
      <w:r w:rsidR="00051694" w:rsidRPr="004F455B">
        <w:rPr>
          <w:rFonts w:ascii="Arial" w:eastAsia="Arial" w:hAnsi="Arial" w:cs="Arial"/>
          <w:color w:val="000000" w:themeColor="text1"/>
        </w:rPr>
        <w:t>MEiN</w:t>
      </w:r>
      <w:proofErr w:type="spellEnd"/>
      <w:r w:rsidR="00051694" w:rsidRPr="004F455B">
        <w:rPr>
          <w:rFonts w:ascii="Arial" w:eastAsia="Arial" w:hAnsi="Arial" w:cs="Arial"/>
          <w:color w:val="000000" w:themeColor="text1"/>
        </w:rPr>
        <w:t>/2022/DPI/2578.</w:t>
      </w:r>
    </w:p>
    <w:p w14:paraId="657B6837" w14:textId="16FE47F1" w:rsidR="00B66260" w:rsidRPr="004F455B" w:rsidRDefault="00B66260" w:rsidP="004F455B">
      <w:pPr>
        <w:pStyle w:val="Default"/>
        <w:numPr>
          <w:ilvl w:val="0"/>
          <w:numId w:val="7"/>
        </w:numPr>
        <w:autoSpaceDE/>
        <w:autoSpaceDN/>
        <w:adjustRightInd/>
        <w:spacing w:line="360" w:lineRule="auto"/>
        <w:ind w:left="425" w:hanging="425"/>
        <w:jc w:val="both"/>
        <w:rPr>
          <w:rFonts w:ascii="Arial" w:eastAsia="Arial" w:hAnsi="Arial" w:cs="Arial"/>
          <w:color w:val="auto"/>
        </w:rPr>
      </w:pPr>
      <w:r w:rsidRPr="004F455B">
        <w:rPr>
          <w:rFonts w:ascii="Arial" w:eastAsia="Arial" w:hAnsi="Arial" w:cs="Arial"/>
          <w:color w:val="auto"/>
        </w:rPr>
        <w:t>Postanowienia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ust.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6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zdanie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pierwsze,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stosuje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się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odpowiednio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do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praw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własności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przemysłowej.</w:t>
      </w:r>
    </w:p>
    <w:p w14:paraId="4A59F1CD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§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4.</w:t>
      </w:r>
    </w:p>
    <w:p w14:paraId="779E2DEB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Wsparcie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w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Konkursie</w:t>
      </w:r>
    </w:p>
    <w:p w14:paraId="0A549885" w14:textId="77777777" w:rsidR="00B66260" w:rsidRPr="004F455B" w:rsidRDefault="00B66260" w:rsidP="00AF54DD">
      <w:pPr>
        <w:pStyle w:val="Default"/>
        <w:numPr>
          <w:ilvl w:val="0"/>
          <w:numId w:val="9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Konkursu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oferowane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jest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wsparcie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przedwdrożeniowych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zmierzających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skomercjalizowania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przedmiotu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zgłoszenia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–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Zespoły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Badawcze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mogą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skorzystać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wsparcia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finansowego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pozwalającego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prowadzenie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przedwdrożeniowych,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szczególności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dodatkowych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testów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laboratoryjnych,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dostosowania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wyników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badawczych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potrzeb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zainteresowanego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nabywcy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lub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pozyskania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inwestora,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przypadku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zakładania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spółki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typu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4F455B">
        <w:rPr>
          <w:rFonts w:ascii="Arial" w:eastAsia="Arial" w:hAnsi="Arial" w:cs="Arial"/>
          <w:color w:val="000000" w:themeColor="text1"/>
        </w:rPr>
        <w:t>spin</w:t>
      </w:r>
      <w:proofErr w:type="spellEnd"/>
      <w:r w:rsidRPr="004F455B">
        <w:rPr>
          <w:rFonts w:ascii="Arial" w:eastAsia="Arial" w:hAnsi="Arial" w:cs="Arial"/>
          <w:color w:val="000000" w:themeColor="text1"/>
        </w:rPr>
        <w:t>-off.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</w:p>
    <w:p w14:paraId="6A6BDB70" w14:textId="77777777" w:rsidR="00B66260" w:rsidRPr="004F455B" w:rsidRDefault="00B66260" w:rsidP="00AF54DD">
      <w:pPr>
        <w:pStyle w:val="Default"/>
        <w:numPr>
          <w:ilvl w:val="0"/>
          <w:numId w:val="9"/>
        </w:numPr>
        <w:autoSpaceDE/>
        <w:autoSpaceDN/>
        <w:adjustRightInd/>
        <w:spacing w:before="240" w:after="120" w:line="360" w:lineRule="auto"/>
        <w:ind w:left="425" w:hanging="425"/>
        <w:jc w:val="both"/>
        <w:rPr>
          <w:rFonts w:ascii="Arial" w:eastAsia="Arial" w:hAnsi="Arial" w:cs="Arial"/>
          <w:color w:val="000000" w:themeColor="text1"/>
        </w:rPr>
      </w:pP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dostępnego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budżetu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finansowane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są: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</w:p>
    <w:p w14:paraId="46CE4F93" w14:textId="77777777" w:rsidR="00B66260" w:rsidRPr="004F455B" w:rsidRDefault="00B66260" w:rsidP="00AF54DD">
      <w:pPr>
        <w:pStyle w:val="Default"/>
        <w:numPr>
          <w:ilvl w:val="1"/>
          <w:numId w:val="12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wynagrodzenia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pracowników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Zespołu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Badawczego;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wysokość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wynagrodzeń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będzie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określona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odrębnie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dla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każdej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Partnerskiej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wg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obowiązujących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regulaminów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zasad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danej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Uczelni,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czym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środki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przeznaczone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wynagrodzenia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mogą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przekroczyć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30%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maksymalnej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kwoty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dofinansowania</w:t>
      </w:r>
      <w:r w:rsidRPr="004F455B">
        <w:rPr>
          <w:rFonts w:ascii="Arial" w:eastAsia="Arial" w:hAnsi="Arial" w:cs="Arial"/>
          <w:color w:val="auto"/>
        </w:rPr>
        <w:t>;</w:t>
      </w:r>
    </w:p>
    <w:p w14:paraId="73CF85DA" w14:textId="04E9CB95" w:rsidR="00B66260" w:rsidRPr="004F455B" w:rsidRDefault="00B66260" w:rsidP="00AF54DD">
      <w:pPr>
        <w:pStyle w:val="Default"/>
        <w:numPr>
          <w:ilvl w:val="1"/>
          <w:numId w:val="13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wydatki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zakup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wyposażenia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laboratoryjnego,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oprogramowania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licencji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>na </w:t>
      </w:r>
      <w:r w:rsidRPr="004F455B">
        <w:rPr>
          <w:rFonts w:ascii="Arial" w:eastAsia="Arial" w:hAnsi="Arial" w:cs="Arial"/>
          <w:color w:val="000000" w:themeColor="text1"/>
        </w:rPr>
        <w:t>oprogramowanie;</w:t>
      </w:r>
    </w:p>
    <w:p w14:paraId="7B4EF906" w14:textId="77777777" w:rsidR="00B66260" w:rsidRPr="004F455B" w:rsidRDefault="00B66260" w:rsidP="00AF54DD">
      <w:pPr>
        <w:pStyle w:val="Default"/>
        <w:numPr>
          <w:ilvl w:val="1"/>
          <w:numId w:val="13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zakupy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materiałów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surowców;</w:t>
      </w:r>
    </w:p>
    <w:p w14:paraId="1FB44CB3" w14:textId="77777777" w:rsidR="00B66260" w:rsidRPr="004F455B" w:rsidRDefault="00B66260" w:rsidP="00AF54DD">
      <w:pPr>
        <w:pStyle w:val="Default"/>
        <w:numPr>
          <w:ilvl w:val="1"/>
          <w:numId w:val="13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usługi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badawcze,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ekspertyzy,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analizy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raporty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niezbędne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prawidłowej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Projektu;</w:t>
      </w:r>
    </w:p>
    <w:p w14:paraId="62EF29B2" w14:textId="77777777" w:rsidR="00B66260" w:rsidRPr="004F455B" w:rsidRDefault="00B66260" w:rsidP="00AF54DD">
      <w:pPr>
        <w:pStyle w:val="Default"/>
        <w:numPr>
          <w:ilvl w:val="1"/>
          <w:numId w:val="13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koszty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krajowych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zagranicznych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podróży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służbowych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osób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zaangażowanych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br/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realizację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Projektu;</w:t>
      </w:r>
    </w:p>
    <w:p w14:paraId="0C1F7420" w14:textId="77777777" w:rsidR="00B66260" w:rsidRPr="004F455B" w:rsidRDefault="00B66260" w:rsidP="00AF54DD">
      <w:pPr>
        <w:pStyle w:val="Default"/>
        <w:numPr>
          <w:ilvl w:val="1"/>
          <w:numId w:val="13"/>
        </w:numPr>
        <w:autoSpaceDE/>
        <w:autoSpaceDN/>
        <w:adjustRightInd/>
        <w:spacing w:line="360" w:lineRule="auto"/>
        <w:ind w:left="850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wydatki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ochronę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przedmiotów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własności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przemysłowej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doradztwo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zakresie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ochrony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własności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intelektualnej,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wraz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opłatami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zgłoszenia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przedmiotów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własności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przemysłowej.</w:t>
      </w:r>
    </w:p>
    <w:p w14:paraId="50BEC396" w14:textId="4D54FEAD" w:rsidR="00B66260" w:rsidRPr="004F455B" w:rsidRDefault="00B66260" w:rsidP="004F455B">
      <w:pPr>
        <w:pStyle w:val="Default"/>
        <w:numPr>
          <w:ilvl w:val="0"/>
          <w:numId w:val="9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color w:val="000000" w:themeColor="text1"/>
        </w:rPr>
      </w:pPr>
      <w:r w:rsidRPr="004F455B">
        <w:rPr>
          <w:rFonts w:ascii="Arial" w:eastAsia="Arial" w:hAnsi="Arial" w:cs="Arial"/>
          <w:color w:val="000000" w:themeColor="text1"/>
        </w:rPr>
        <w:t>Wydatki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ponoszone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projektu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są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realizowane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Partnerskiej</w:t>
      </w:r>
      <w:r w:rsidR="004722FD" w:rsidRPr="004F455B">
        <w:rPr>
          <w:rFonts w:ascii="Arial" w:eastAsia="Arial" w:hAnsi="Arial" w:cs="Arial"/>
          <w:color w:val="000000" w:themeColor="text1"/>
        </w:rPr>
        <w:t>,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której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jest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zatrudniony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Lider</w:t>
      </w:r>
      <w:r w:rsidR="004722FD" w:rsidRPr="004F455B">
        <w:rPr>
          <w:rFonts w:ascii="Arial" w:eastAsia="Arial" w:hAnsi="Arial" w:cs="Arial"/>
          <w:color w:val="000000" w:themeColor="text1"/>
        </w:rPr>
        <w:t xml:space="preserve"> Zespołu</w:t>
      </w:r>
      <w:r w:rsidRPr="004F455B">
        <w:rPr>
          <w:rFonts w:ascii="Arial" w:eastAsia="Arial" w:hAnsi="Arial" w:cs="Arial"/>
          <w:color w:val="000000" w:themeColor="text1"/>
        </w:rPr>
        <w:t>.</w:t>
      </w:r>
    </w:p>
    <w:p w14:paraId="41622470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F455B">
        <w:rPr>
          <w:rFonts w:ascii="Arial" w:eastAsia="Arial" w:hAnsi="Arial" w:cs="Arial"/>
          <w:b/>
          <w:bCs/>
          <w:color w:val="auto"/>
        </w:rPr>
        <w:t>§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5.</w:t>
      </w:r>
    </w:p>
    <w:p w14:paraId="6D1CB972" w14:textId="1403C93E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/>
          <w:bCs/>
          <w:color w:val="auto"/>
        </w:rPr>
        <w:t>Zasady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zgłaszania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i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bCs/>
          <w:color w:val="auto"/>
        </w:rPr>
        <w:t>wyboru</w:t>
      </w:r>
      <w:r w:rsidR="0071183E" w:rsidRPr="004F455B">
        <w:rPr>
          <w:rFonts w:ascii="Arial" w:eastAsia="Arial" w:hAnsi="Arial" w:cs="Arial"/>
          <w:b/>
          <w:bCs/>
          <w:color w:val="auto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wyników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badań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naukowych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i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rozwojowych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b/>
          <w:color w:val="000000" w:themeColor="text1"/>
        </w:rPr>
        <w:t>do </w:t>
      </w:r>
      <w:r w:rsidRPr="004F455B">
        <w:rPr>
          <w:rFonts w:ascii="Arial" w:eastAsia="Arial" w:hAnsi="Arial" w:cs="Arial"/>
          <w:b/>
          <w:color w:val="000000" w:themeColor="text1"/>
        </w:rPr>
        <w:t>wsparcia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w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color w:val="000000" w:themeColor="text1"/>
        </w:rPr>
        <w:t>Konkursu</w:t>
      </w:r>
    </w:p>
    <w:p w14:paraId="020345AD" w14:textId="5E583899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Lider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Zespołu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Partnerskiej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składa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wniosek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do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tej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Partnerskiej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515462" w:rsidRPr="004F455B">
        <w:rPr>
          <w:rFonts w:ascii="Arial" w:eastAsia="Arial" w:hAnsi="Arial" w:cs="Arial"/>
          <w:bCs/>
          <w:color w:val="000000" w:themeColor="text1"/>
        </w:rPr>
        <w:t>o </w:t>
      </w:r>
      <w:r w:rsidRPr="004F455B">
        <w:rPr>
          <w:rFonts w:ascii="Arial" w:eastAsia="Arial" w:hAnsi="Arial" w:cs="Arial"/>
          <w:bCs/>
          <w:color w:val="000000" w:themeColor="text1"/>
        </w:rPr>
        <w:t>wsparcie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przedwdrożeniowych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na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Formularzu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zgłoszeniowym.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Zgłoszenia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należy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przesyłać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elektronicznie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przypadku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Politechniki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Białostockiej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515462" w:rsidRPr="004F455B">
        <w:rPr>
          <w:rFonts w:ascii="Arial" w:eastAsia="Arial" w:hAnsi="Arial" w:cs="Arial"/>
          <w:bCs/>
          <w:color w:val="000000" w:themeColor="text1"/>
        </w:rPr>
        <w:t>na </w:t>
      </w:r>
      <w:r w:rsidRPr="004F455B">
        <w:rPr>
          <w:rFonts w:ascii="Arial" w:eastAsia="Arial" w:hAnsi="Arial" w:cs="Arial"/>
          <w:bCs/>
          <w:color w:val="000000" w:themeColor="text1"/>
        </w:rPr>
        <w:t>adres: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hyperlink r:id="rId8" w:history="1">
        <w:r w:rsidRPr="004F455B">
          <w:rPr>
            <w:rStyle w:val="Hipercze"/>
            <w:rFonts w:ascii="Arial" w:eastAsia="Arial" w:hAnsi="Arial" w:cs="Arial"/>
            <w:bCs/>
            <w:color w:val="auto"/>
          </w:rPr>
          <w:t>komercjalizacja.viacarpatia@pb.edu.pl</w:t>
        </w:r>
      </w:hyperlink>
      <w:r w:rsidRPr="004F455B">
        <w:rPr>
          <w:rFonts w:ascii="Arial" w:eastAsia="Arial" w:hAnsi="Arial" w:cs="Arial"/>
          <w:bCs/>
          <w:color w:val="auto"/>
        </w:rPr>
        <w:t>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przypadku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Politechniki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Lubelskiej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="00515462" w:rsidRPr="004F455B">
        <w:rPr>
          <w:rFonts w:ascii="Arial" w:eastAsia="Arial" w:hAnsi="Arial" w:cs="Arial"/>
          <w:bCs/>
          <w:color w:val="auto"/>
        </w:rPr>
        <w:t>na </w:t>
      </w:r>
      <w:r w:rsidRPr="004F455B">
        <w:rPr>
          <w:rFonts w:ascii="Arial" w:eastAsia="Arial" w:hAnsi="Arial" w:cs="Arial"/>
          <w:bCs/>
          <w:color w:val="auto"/>
        </w:rPr>
        <w:t>adres: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hyperlink r:id="rId9" w:history="1">
        <w:r w:rsidRPr="004F455B">
          <w:rPr>
            <w:rStyle w:val="Hipercze"/>
            <w:rFonts w:ascii="Arial" w:eastAsia="Arial" w:hAnsi="Arial" w:cs="Arial"/>
            <w:bCs/>
            <w:color w:val="auto"/>
          </w:rPr>
          <w:t>citt@pollub.pl</w:t>
        </w:r>
      </w:hyperlink>
      <w:r w:rsidRPr="004F455B">
        <w:rPr>
          <w:rFonts w:ascii="Arial" w:eastAsia="Arial" w:hAnsi="Arial" w:cs="Arial"/>
          <w:bCs/>
          <w:color w:val="auto"/>
        </w:rPr>
        <w:t>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</w:t>
      </w:r>
      <w:r w:rsidRPr="004F455B">
        <w:rPr>
          <w:rFonts w:ascii="Arial" w:eastAsia="Arial" w:hAnsi="Arial" w:cs="Arial"/>
          <w:bCs/>
          <w:color w:val="000000" w:themeColor="text1"/>
        </w:rPr>
        <w:t>rzypadku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Politechniki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Rzeszowskiej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na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adres: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viacarpatia@prz.edu.pl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oraz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złożyć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formie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papierowej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CTT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właściwej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Partnerskiej.</w:t>
      </w:r>
    </w:p>
    <w:p w14:paraId="5294A9AE" w14:textId="77777777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Termin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składania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wniosków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o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wsparcie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przedwdrożeniowych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określa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każdorazowo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ogłoszenie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="004722FD" w:rsidRPr="004F455B">
        <w:rPr>
          <w:rFonts w:ascii="Arial" w:eastAsia="Arial" w:hAnsi="Arial" w:cs="Arial"/>
          <w:bCs/>
          <w:color w:val="auto"/>
        </w:rPr>
        <w:t>K</w:t>
      </w:r>
      <w:r w:rsidRPr="004F455B">
        <w:rPr>
          <w:rFonts w:ascii="Arial" w:eastAsia="Arial" w:hAnsi="Arial" w:cs="Arial"/>
          <w:bCs/>
          <w:color w:val="auto"/>
        </w:rPr>
        <w:t>onkursie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zamieszczone,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szczególności,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na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stronie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www.viacarpatia.pro.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Termin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oraz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miejsce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składania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wniosków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formie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papierowej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podaje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się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do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wiadomości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na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stronach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internetowych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Uczelni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Partnerskich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oraz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przekazuje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bCs/>
          <w:color w:val="auto"/>
        </w:rPr>
        <w:t>się</w:t>
      </w:r>
      <w:r w:rsidR="0071183E" w:rsidRPr="004F455B">
        <w:rPr>
          <w:rFonts w:ascii="Arial" w:eastAsia="Arial" w:hAnsi="Arial" w:cs="Arial"/>
          <w:bCs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pracownikom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Uczelni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Partnerskich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drogą</w:t>
      </w:r>
      <w:r w:rsidR="0071183E" w:rsidRPr="004F455B">
        <w:rPr>
          <w:rFonts w:ascii="Arial" w:eastAsia="Arial" w:hAnsi="Arial" w:cs="Arial"/>
          <w:color w:val="auto"/>
        </w:rPr>
        <w:t xml:space="preserve"> </w:t>
      </w:r>
      <w:r w:rsidRPr="004F455B">
        <w:rPr>
          <w:rFonts w:ascii="Arial" w:eastAsia="Arial" w:hAnsi="Arial" w:cs="Arial"/>
          <w:color w:val="auto"/>
        </w:rPr>
        <w:t>elektroniczną.</w:t>
      </w:r>
    </w:p>
    <w:p w14:paraId="2C3E5C05" w14:textId="77777777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  <w:bCs/>
        </w:rPr>
      </w:pPr>
      <w:r w:rsidRPr="004F455B">
        <w:rPr>
          <w:rFonts w:ascii="Arial" w:eastAsia="Arial" w:hAnsi="Arial" w:cs="Arial"/>
          <w:bCs/>
          <w:color w:val="000000" w:themeColor="text1"/>
        </w:rPr>
        <w:t>Oceny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wniosków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o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wsparcie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prac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przedwdrożeniowych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Konkursu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dokonuje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Komisja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konkursowa.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F5CF432" w14:textId="46B79C13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Komisja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konkursowa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oceni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zgłoszenia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Zespołów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Badawczych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terminie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21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>od </w:t>
      </w:r>
      <w:r w:rsidRPr="004F455B">
        <w:rPr>
          <w:rFonts w:ascii="Arial" w:eastAsia="Arial" w:hAnsi="Arial" w:cs="Arial"/>
          <w:color w:val="000000" w:themeColor="text1"/>
        </w:rPr>
        <w:t>daty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zakończenia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naboru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sporządzi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listy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rankingowe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zgłoszeń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oddzielnie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dla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każdej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Partnerskich.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</w:p>
    <w:p w14:paraId="5C110DD6" w14:textId="3C1476E7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Przyznanie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wsparcia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odbywa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się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podstawie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ustalonej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listy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rankingowej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515462" w:rsidRPr="004F455B">
        <w:rPr>
          <w:rFonts w:ascii="Arial" w:eastAsia="Arial" w:hAnsi="Arial" w:cs="Arial"/>
          <w:color w:val="000000" w:themeColor="text1"/>
        </w:rPr>
        <w:t>do </w:t>
      </w:r>
      <w:r w:rsidRPr="004F455B">
        <w:rPr>
          <w:rFonts w:ascii="Arial" w:eastAsia="Arial" w:hAnsi="Arial" w:cs="Arial"/>
          <w:color w:val="000000" w:themeColor="text1"/>
        </w:rPr>
        <w:t>wyczerpania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przeznaczonych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ten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cel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środków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finansowych.</w:t>
      </w:r>
    </w:p>
    <w:p w14:paraId="154CA555" w14:textId="59157B94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Listy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rankingowe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są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ogłaszane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stronie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internetowej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Zadania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zleconego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terminie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>do </w:t>
      </w:r>
      <w:r w:rsidRPr="004F455B">
        <w:rPr>
          <w:rFonts w:ascii="Arial" w:eastAsia="Arial" w:hAnsi="Arial" w:cs="Arial"/>
          <w:color w:val="000000" w:themeColor="text1"/>
        </w:rPr>
        <w:t>7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daty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jej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sporządzenia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przez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Komisję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konkursową.</w:t>
      </w:r>
      <w:r w:rsidR="0071183E" w:rsidRPr="004F455B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386F7882" w14:textId="3CCDA765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Decyzję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przyznaniu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wsparcia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ramach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Konkursu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Komisja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konkursowa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przekazuje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Zespołowi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 xml:space="preserve">Badawczemu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terminie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7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daty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ogłoszenia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listy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rankingowej.</w:t>
      </w:r>
    </w:p>
    <w:p w14:paraId="276EE9C5" w14:textId="72C010A0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Alokacja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środków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finansowych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każdej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Uczelni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Partnerskich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przeznaczonych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>na </w:t>
      </w:r>
      <w:r w:rsidRPr="004F455B">
        <w:rPr>
          <w:rFonts w:ascii="Arial" w:eastAsia="Arial" w:hAnsi="Arial" w:cs="Arial"/>
          <w:color w:val="000000" w:themeColor="text1"/>
        </w:rPr>
        <w:t>realizację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4722FD" w:rsidRPr="004F455B">
        <w:rPr>
          <w:rFonts w:ascii="Arial" w:eastAsia="Arial" w:hAnsi="Arial" w:cs="Arial"/>
          <w:color w:val="000000" w:themeColor="text1"/>
        </w:rPr>
        <w:t>K</w:t>
      </w:r>
      <w:r w:rsidRPr="004F455B">
        <w:rPr>
          <w:rFonts w:ascii="Arial" w:eastAsia="Arial" w:hAnsi="Arial" w:cs="Arial"/>
          <w:color w:val="000000" w:themeColor="text1"/>
        </w:rPr>
        <w:t>onkursu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202</w:t>
      </w:r>
      <w:r w:rsidR="00AF6703" w:rsidRPr="004F455B">
        <w:rPr>
          <w:rFonts w:ascii="Arial" w:eastAsia="Arial" w:hAnsi="Arial" w:cs="Arial"/>
          <w:color w:val="000000" w:themeColor="text1"/>
        </w:rPr>
        <w:t>4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roku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wynosi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color w:val="000000" w:themeColor="text1"/>
        </w:rPr>
        <w:t>100 </w:t>
      </w:r>
      <w:r w:rsidRPr="004F455B">
        <w:rPr>
          <w:rFonts w:ascii="Arial" w:eastAsia="Arial" w:hAnsi="Arial" w:cs="Arial"/>
          <w:color w:val="000000" w:themeColor="text1"/>
        </w:rPr>
        <w:t>000,00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(słownie: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sto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tysięcy)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złotych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brutto</w:t>
      </w:r>
      <w:r w:rsidR="004722FD" w:rsidRPr="004F455B">
        <w:rPr>
          <w:rFonts w:ascii="Arial" w:eastAsia="Arial" w:hAnsi="Arial" w:cs="Arial"/>
          <w:color w:val="000000" w:themeColor="text1"/>
        </w:rPr>
        <w:t xml:space="preserve"> na każdej Uczelni</w:t>
      </w:r>
      <w:r w:rsidRPr="004F455B">
        <w:rPr>
          <w:rFonts w:ascii="Arial" w:eastAsia="Arial" w:hAnsi="Arial" w:cs="Arial"/>
          <w:color w:val="000000" w:themeColor="text1"/>
        </w:rPr>
        <w:t>.</w:t>
      </w:r>
      <w:r w:rsidR="004722FD" w:rsidRPr="004F455B">
        <w:rPr>
          <w:rFonts w:ascii="Arial" w:eastAsia="Arial" w:hAnsi="Arial" w:cs="Arial"/>
          <w:color w:val="000000" w:themeColor="text1"/>
        </w:rPr>
        <w:t xml:space="preserve"> </w:t>
      </w:r>
    </w:p>
    <w:p w14:paraId="650AFC89" w14:textId="77777777" w:rsidR="00B66260" w:rsidRPr="004F455B" w:rsidRDefault="00B66260" w:rsidP="00AF54DD">
      <w:pPr>
        <w:pStyle w:val="Default"/>
        <w:numPr>
          <w:ilvl w:val="0"/>
          <w:numId w:val="8"/>
        </w:numPr>
        <w:autoSpaceDE/>
        <w:autoSpaceDN/>
        <w:adjustRightInd/>
        <w:spacing w:before="240" w:after="240" w:line="360" w:lineRule="auto"/>
        <w:ind w:left="425" w:hanging="425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color w:val="000000" w:themeColor="text1"/>
        </w:rPr>
        <w:t>Komisja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konkursowa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przyznaje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zgłoszeniom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odpowiednią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liczbę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punktów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według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własnej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oceny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w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następujących</w:t>
      </w:r>
      <w:r w:rsidR="0071183E" w:rsidRPr="004F455B">
        <w:rPr>
          <w:rFonts w:ascii="Arial" w:eastAsia="Arial" w:hAnsi="Arial" w:cs="Arial"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color w:val="000000" w:themeColor="text1"/>
        </w:rPr>
        <w:t>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16"/>
        <w:gridCol w:w="535"/>
        <w:gridCol w:w="2871"/>
        <w:gridCol w:w="1328"/>
        <w:gridCol w:w="3312"/>
      </w:tblGrid>
      <w:tr w:rsidR="00B66260" w:rsidRPr="004F455B" w14:paraId="1CC5B504" w14:textId="77777777" w:rsidTr="0071183E">
        <w:trPr>
          <w:trHeight w:val="66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870908" w14:textId="77777777" w:rsidR="00B66260" w:rsidRPr="004F455B" w:rsidRDefault="00B66260" w:rsidP="0071183E">
            <w:pPr>
              <w:spacing w:before="240" w:after="240" w:line="360" w:lineRule="auto"/>
              <w:ind w:left="113" w:right="113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POTRZEBA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5C02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AC58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Identyfikacja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potrzeby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rynkowej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uzasadniającej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realizację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prac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przedwdrożeniowych</w:t>
            </w:r>
          </w:p>
          <w:p w14:paraId="562069DC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(maks.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F81C" w14:textId="77777777" w:rsidR="00B66260" w:rsidRPr="004F455B" w:rsidRDefault="00B66260" w:rsidP="0071183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0262F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Wskazano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potrzebę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rynkową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uzasadniającą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realizację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prac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przedwdrożeniowych</w:t>
            </w:r>
          </w:p>
        </w:tc>
      </w:tr>
      <w:tr w:rsidR="00B66260" w:rsidRPr="004F455B" w14:paraId="000FE193" w14:textId="77777777" w:rsidTr="0071183E">
        <w:trPr>
          <w:trHeight w:val="66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BE090E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5D8B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4FDA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1412" w14:textId="77777777" w:rsidR="00B66260" w:rsidRPr="004F455B" w:rsidRDefault="00B66260" w:rsidP="0071183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CC86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Wskazano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dotychczasowy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sposób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zaspokajania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zdiagnozowanej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potrzeby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rynkowej</w:t>
            </w:r>
          </w:p>
        </w:tc>
      </w:tr>
      <w:tr w:rsidR="00B66260" w:rsidRPr="004F455B" w14:paraId="067627C7" w14:textId="77777777" w:rsidTr="0071183E">
        <w:trPr>
          <w:trHeight w:val="66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4D78A9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F30E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2F22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1D65" w14:textId="77777777" w:rsidR="00B66260" w:rsidRPr="004F455B" w:rsidRDefault="00B66260" w:rsidP="0071183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70DA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Wskazano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korzyści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wynikające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br/>
              <w:t>z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wykorzystania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proponowanego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rozwiązania</w:t>
            </w:r>
          </w:p>
        </w:tc>
      </w:tr>
      <w:tr w:rsidR="00B66260" w:rsidRPr="004F455B" w14:paraId="6BA9BEC1" w14:textId="77777777" w:rsidTr="0071183E">
        <w:trPr>
          <w:trHeight w:val="66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DE0A2D4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GOTOWOŚĆ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9F4B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D8E3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Poziom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gotowości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technologii</w:t>
            </w:r>
          </w:p>
          <w:p w14:paraId="5E9751BB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(maks.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7E5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punktów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AAC8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Jeśli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zakwalifikowano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Poziomu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lub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II</w:t>
            </w:r>
          </w:p>
        </w:tc>
      </w:tr>
      <w:tr w:rsidR="00B66260" w:rsidRPr="004F455B" w14:paraId="4AC609E8" w14:textId="77777777" w:rsidTr="0071183E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07D4F1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11DE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5633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2D998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4175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Jeśli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zakwalifikowano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Poziomu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III</w:t>
            </w:r>
          </w:p>
        </w:tc>
      </w:tr>
      <w:tr w:rsidR="00B66260" w:rsidRPr="004F455B" w14:paraId="6BC64D9E" w14:textId="77777777" w:rsidTr="0071183E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76F268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38D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4E8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CC92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1,5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punktu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D348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Jeśli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zakwalifikowano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Poziomu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IV</w:t>
            </w:r>
          </w:p>
        </w:tc>
      </w:tr>
      <w:tr w:rsidR="00B66260" w:rsidRPr="004F455B" w14:paraId="5411A7ED" w14:textId="77777777" w:rsidTr="0071183E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9C85C9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2C56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18D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FDB1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1D01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Jeśli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zakwalifikowano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Poziomu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</w:tr>
      <w:tr w:rsidR="00B66260" w:rsidRPr="004F455B" w14:paraId="4AE5A9EE" w14:textId="77777777" w:rsidTr="0071183E">
        <w:trPr>
          <w:trHeight w:val="60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64038B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BA2C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F92F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59B1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9811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Jeśli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wyniki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zakwalifikowano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Poziomu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VI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lub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wyższego</w:t>
            </w:r>
          </w:p>
        </w:tc>
      </w:tr>
      <w:tr w:rsidR="00B66260" w:rsidRPr="004F455B" w14:paraId="157226B1" w14:textId="77777777" w:rsidTr="0071183E">
        <w:trPr>
          <w:trHeight w:val="568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B4DCB6" w14:textId="77777777" w:rsidR="00B66260" w:rsidRPr="004F455B" w:rsidRDefault="00B66260" w:rsidP="0071183E">
            <w:pPr>
              <w:spacing w:before="240" w:after="240" w:line="360" w:lineRule="auto"/>
              <w:ind w:left="113" w:right="113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RYNEK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1660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15B4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Znajomość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rynku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docelowego</w:t>
            </w:r>
          </w:p>
          <w:p w14:paraId="6F5C5009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(maks.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6B92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9515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Scharakteryzowano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rynek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docelowy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dla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produktu/usługi,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wskazując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segmenty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klientów</w:t>
            </w:r>
          </w:p>
        </w:tc>
      </w:tr>
      <w:tr w:rsidR="00B66260" w:rsidRPr="004F455B" w14:paraId="646C00C8" w14:textId="77777777" w:rsidTr="0071183E">
        <w:trPr>
          <w:trHeight w:val="548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430288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F805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9EC6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EC4B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D556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Scharakteryzowano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podmioty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oferujące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alternatywne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sposoby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zaspokajania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zdiagnozowanej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potrzeby</w:t>
            </w:r>
          </w:p>
        </w:tc>
      </w:tr>
      <w:tr w:rsidR="00B66260" w:rsidRPr="004F455B" w14:paraId="21510143" w14:textId="77777777" w:rsidTr="0071183E">
        <w:trPr>
          <w:trHeight w:val="858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E66EFDF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F11C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BABC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5FA4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E9E6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Scharakteryzowano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obszary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ryzyka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bariery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wykorzystania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produktu/usługi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br/>
              <w:t>w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działalności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przedsiębiorstw</w:t>
            </w:r>
          </w:p>
        </w:tc>
      </w:tr>
      <w:tr w:rsidR="00B66260" w:rsidRPr="004F455B" w14:paraId="74FE808A" w14:textId="77777777" w:rsidTr="0071183E">
        <w:trPr>
          <w:trHeight w:val="558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AA1F9D" w14:textId="77777777" w:rsidR="00B66260" w:rsidRPr="004F455B" w:rsidRDefault="00B66260" w:rsidP="0071183E">
            <w:pPr>
              <w:ind w:left="113" w:right="113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ZESPÓŁ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B8D53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960F9" w14:textId="4D4AD079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Interdyscyplinarność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Zespołu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45E13" w:rsidRPr="004F455B">
              <w:rPr>
                <w:rFonts w:ascii="Arial" w:eastAsia="Arial" w:hAnsi="Arial" w:cs="Arial"/>
                <w:sz w:val="24"/>
                <w:szCs w:val="24"/>
              </w:rPr>
              <w:t>Badawczego</w:t>
            </w:r>
          </w:p>
          <w:p w14:paraId="1ECA16A9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(maks.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21F1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punktów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FE81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składzie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Zespołu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Badawczego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znajdują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się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wyłącznie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osoby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będące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pracownikami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jednej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Uczelni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Partnerskich</w:t>
            </w:r>
          </w:p>
        </w:tc>
      </w:tr>
      <w:tr w:rsidR="00B66260" w:rsidRPr="004F455B" w14:paraId="5FD1463A" w14:textId="77777777" w:rsidTr="0071183E">
        <w:trPr>
          <w:trHeight w:val="858"/>
        </w:trPr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961AA1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86CEE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7A328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EDF3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7ADD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skład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Zespołu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Badawczego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wchodzą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pracownicy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Uczelni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Partnerskich</w:t>
            </w:r>
          </w:p>
        </w:tc>
      </w:tr>
      <w:tr w:rsidR="00B66260" w:rsidRPr="004F455B" w14:paraId="19328D8B" w14:textId="77777777" w:rsidTr="0071183E">
        <w:trPr>
          <w:trHeight w:val="858"/>
        </w:trPr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800605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DDB0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3C2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D382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punkty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E762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skład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Zespołu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Badawczego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wchodzą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pracownicy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Uczelni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Partnerskich</w:t>
            </w:r>
          </w:p>
        </w:tc>
      </w:tr>
      <w:tr w:rsidR="00B66260" w:rsidRPr="004F455B" w14:paraId="7E2F6338" w14:textId="77777777" w:rsidTr="0071183E">
        <w:trPr>
          <w:trHeight w:val="1745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6CD98C" w14:textId="77777777" w:rsidR="00B66260" w:rsidRPr="004F455B" w:rsidRDefault="00B66260" w:rsidP="0071183E">
            <w:pPr>
              <w:spacing w:before="240" w:after="240" w:line="360" w:lineRule="auto"/>
              <w:ind w:left="113" w:right="113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KOMERCJALIZACJA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B7B6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9184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Przygotowanie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ścieżki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komercjalizacji</w:t>
            </w:r>
          </w:p>
          <w:p w14:paraId="11114AF9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(maks.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pkt)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FA03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30D6" w14:textId="77777777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Wskazano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sposób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komercjalizacji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bez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przedstawienia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planowanych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podjęcia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działań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tym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zakresie</w:t>
            </w:r>
          </w:p>
        </w:tc>
      </w:tr>
      <w:tr w:rsidR="00B66260" w:rsidRPr="004F455B" w14:paraId="56D5E9C1" w14:textId="77777777" w:rsidTr="0071183E">
        <w:trPr>
          <w:trHeight w:val="1244"/>
        </w:trPr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FE679B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6B7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245" w14:textId="77777777" w:rsidR="00B66260" w:rsidRPr="004F455B" w:rsidRDefault="00B66260" w:rsidP="007118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B5DB" w14:textId="77777777" w:rsidR="00B66260" w:rsidRPr="004F455B" w:rsidRDefault="00B66260" w:rsidP="0071183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punkt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3C4B" w14:textId="282A37BC" w:rsidR="00B66260" w:rsidRPr="004F455B" w:rsidRDefault="00B66260" w:rsidP="0071183E">
            <w:pPr>
              <w:spacing w:before="240" w:after="24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F455B">
              <w:rPr>
                <w:rFonts w:ascii="Arial" w:eastAsia="Arial" w:hAnsi="Arial" w:cs="Arial"/>
                <w:sz w:val="24"/>
                <w:szCs w:val="24"/>
              </w:rPr>
              <w:t>Opisano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planowane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45E13" w:rsidRPr="004F455B">
              <w:rPr>
                <w:rFonts w:ascii="Arial" w:eastAsia="Arial" w:hAnsi="Arial" w:cs="Arial"/>
                <w:sz w:val="24"/>
                <w:szCs w:val="24"/>
              </w:rPr>
              <w:t>do 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podjęcia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działania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zmierzające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do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F455B">
              <w:rPr>
                <w:rFonts w:ascii="Arial" w:eastAsia="Arial" w:hAnsi="Arial" w:cs="Arial"/>
                <w:sz w:val="24"/>
                <w:szCs w:val="24"/>
              </w:rPr>
              <w:t>komercjalizacji</w:t>
            </w:r>
            <w:r w:rsidR="0071183E" w:rsidRPr="004F455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A6DBD13" w14:textId="77777777" w:rsidR="00AF54DD" w:rsidRPr="004F455B" w:rsidRDefault="00AF54DD" w:rsidP="00B66260">
      <w:pPr>
        <w:pStyle w:val="Default"/>
        <w:spacing w:before="240" w:after="120"/>
        <w:jc w:val="center"/>
        <w:rPr>
          <w:rFonts w:ascii="Arial" w:eastAsia="Arial" w:hAnsi="Arial" w:cs="Arial"/>
          <w:b/>
        </w:rPr>
      </w:pPr>
    </w:p>
    <w:p w14:paraId="5EFB6D7F" w14:textId="77777777" w:rsidR="00B66260" w:rsidRPr="004F455B" w:rsidRDefault="00B66260" w:rsidP="00AF54DD">
      <w:pPr>
        <w:pStyle w:val="Default"/>
        <w:numPr>
          <w:ilvl w:val="0"/>
          <w:numId w:val="8"/>
        </w:numPr>
        <w:tabs>
          <w:tab w:val="left" w:pos="426"/>
        </w:tabs>
        <w:autoSpaceDE/>
        <w:autoSpaceDN/>
        <w:adjustRightInd/>
        <w:spacing w:before="240" w:after="240" w:line="360" w:lineRule="auto"/>
        <w:ind w:left="714" w:hanging="357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Uzyskanie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liczby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punktów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równej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0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jednej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kategorii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skutkuje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odrzuceniem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wniosku.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</w:p>
    <w:p w14:paraId="6EA49B0B" w14:textId="77777777" w:rsidR="00ED49E2" w:rsidRPr="004F455B" w:rsidRDefault="00B66260" w:rsidP="00AF54DD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Rozstrzygnięcia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Komisji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konkursowej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są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ostateczne</w:t>
      </w:r>
      <w:r w:rsidR="00B45E13" w:rsidRPr="004F455B">
        <w:rPr>
          <w:rFonts w:ascii="Arial" w:eastAsia="Arial" w:hAnsi="Arial" w:cs="Arial"/>
          <w:bCs/>
          <w:color w:val="000000" w:themeColor="text1"/>
        </w:rPr>
        <w:t>.</w:t>
      </w:r>
    </w:p>
    <w:p w14:paraId="3BDCE324" w14:textId="15771314" w:rsidR="00F26856" w:rsidRPr="004F455B" w:rsidRDefault="00ED49E2" w:rsidP="00F26856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Po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zakończeniu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</w:rPr>
        <w:t>realizacji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Proj</w:t>
      </w:r>
      <w:r w:rsidR="00AF6703" w:rsidRPr="004F455B">
        <w:rPr>
          <w:rFonts w:ascii="Arial" w:eastAsia="Arial" w:hAnsi="Arial" w:cs="Arial"/>
          <w:bCs/>
          <w:color w:val="000000" w:themeColor="text1"/>
        </w:rPr>
        <w:t>ek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tu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4722FD" w:rsidRPr="004F455B">
        <w:rPr>
          <w:rFonts w:ascii="Arial" w:eastAsia="Arial" w:hAnsi="Arial" w:cs="Arial"/>
          <w:bCs/>
          <w:color w:val="000000" w:themeColor="text1"/>
        </w:rPr>
        <w:t xml:space="preserve">Zespół badawczy 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przekaz</w:t>
      </w:r>
      <w:r w:rsidR="004722FD" w:rsidRPr="004F455B">
        <w:rPr>
          <w:rFonts w:ascii="Arial" w:eastAsia="Arial" w:hAnsi="Arial" w:cs="Arial"/>
          <w:bCs/>
          <w:color w:val="000000" w:themeColor="text1"/>
        </w:rPr>
        <w:t>uje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pisemny</w:t>
      </w:r>
      <w:r w:rsidR="0071183E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raport</w:t>
      </w:r>
      <w:r w:rsidR="00AF6703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B45E13" w:rsidRPr="004F455B">
        <w:rPr>
          <w:rFonts w:ascii="Arial" w:eastAsia="Arial" w:hAnsi="Arial" w:cs="Arial"/>
          <w:bCs/>
          <w:color w:val="000000" w:themeColor="text1"/>
        </w:rPr>
        <w:t>z </w:t>
      </w:r>
      <w:r w:rsidR="00AF6703" w:rsidRPr="004F455B">
        <w:rPr>
          <w:rFonts w:ascii="Arial" w:eastAsia="Arial" w:hAnsi="Arial" w:cs="Arial"/>
          <w:bCs/>
          <w:color w:val="000000" w:themeColor="text1"/>
        </w:rPr>
        <w:t>realizacji</w:t>
      </w:r>
      <w:r w:rsidR="004722FD" w:rsidRPr="004F455B">
        <w:rPr>
          <w:rFonts w:ascii="Arial" w:eastAsia="Arial" w:hAnsi="Arial" w:cs="Arial"/>
          <w:bCs/>
          <w:color w:val="000000" w:themeColor="text1"/>
        </w:rPr>
        <w:t xml:space="preserve"> Projektu</w:t>
      </w:r>
      <w:r w:rsidR="00AF6703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AF6703" w:rsidRPr="004F455B">
        <w:rPr>
          <w:rFonts w:ascii="Arial" w:eastAsia="Arial" w:hAnsi="Arial" w:cs="Arial"/>
          <w:color w:val="000000" w:themeColor="text1"/>
        </w:rPr>
        <w:t>w Uczelni Partnerskiej</w:t>
      </w:r>
      <w:r w:rsidR="000152E8" w:rsidRPr="004F455B">
        <w:rPr>
          <w:rFonts w:ascii="Arial" w:eastAsia="Arial" w:hAnsi="Arial" w:cs="Arial"/>
          <w:color w:val="000000" w:themeColor="text1"/>
        </w:rPr>
        <w:t>,</w:t>
      </w:r>
      <w:r w:rsidR="00AF6703" w:rsidRPr="004F455B">
        <w:rPr>
          <w:rFonts w:ascii="Arial" w:eastAsia="Arial" w:hAnsi="Arial" w:cs="Arial"/>
          <w:color w:val="000000" w:themeColor="text1"/>
        </w:rPr>
        <w:t xml:space="preserve"> w której jest zatrudniony Lider</w:t>
      </w:r>
      <w:r w:rsidR="0060031C" w:rsidRPr="004F455B">
        <w:rPr>
          <w:rFonts w:ascii="Arial" w:eastAsia="Arial" w:hAnsi="Arial" w:cs="Arial"/>
          <w:bCs/>
          <w:color w:val="000000" w:themeColor="text1"/>
        </w:rPr>
        <w:t>.</w:t>
      </w:r>
      <w:r w:rsidR="003A278F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Raport powinien zawierać </w:t>
      </w:r>
      <w:r w:rsidR="0042691D" w:rsidRPr="004F455B">
        <w:rPr>
          <w:rFonts w:ascii="Arial" w:eastAsia="Arial" w:hAnsi="Arial" w:cs="Arial"/>
          <w:bCs/>
          <w:color w:val="000000" w:themeColor="text1"/>
        </w:rPr>
        <w:t>opis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 metod badawcz</w:t>
      </w:r>
      <w:r w:rsidR="0042691D" w:rsidRPr="004F455B">
        <w:rPr>
          <w:rFonts w:ascii="Arial" w:eastAsia="Arial" w:hAnsi="Arial" w:cs="Arial"/>
          <w:bCs/>
          <w:color w:val="000000" w:themeColor="text1"/>
        </w:rPr>
        <w:t>ych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42691D" w:rsidRPr="004F455B">
        <w:rPr>
          <w:rFonts w:ascii="Arial" w:eastAsia="Arial" w:hAnsi="Arial" w:cs="Arial"/>
          <w:bCs/>
          <w:color w:val="000000" w:themeColor="text1"/>
        </w:rPr>
        <w:t>wraz z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 wynik</w:t>
      </w:r>
      <w:r w:rsidR="0042691D" w:rsidRPr="004F455B">
        <w:rPr>
          <w:rFonts w:ascii="Arial" w:eastAsia="Arial" w:hAnsi="Arial" w:cs="Arial"/>
          <w:bCs/>
          <w:color w:val="000000" w:themeColor="text1"/>
        </w:rPr>
        <w:t>ami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 testów i analiz, własne oceny</w:t>
      </w:r>
      <w:r w:rsidR="0042691D" w:rsidRPr="004F455B">
        <w:rPr>
          <w:rFonts w:ascii="Arial" w:eastAsia="Arial" w:hAnsi="Arial" w:cs="Arial"/>
          <w:bCs/>
          <w:color w:val="000000" w:themeColor="text1"/>
        </w:rPr>
        <w:t xml:space="preserve"> i </w:t>
      </w:r>
      <w:r w:rsidR="00F26856" w:rsidRPr="004F455B">
        <w:rPr>
          <w:rFonts w:ascii="Arial" w:eastAsia="Arial" w:hAnsi="Arial" w:cs="Arial"/>
          <w:bCs/>
          <w:color w:val="000000" w:themeColor="text1"/>
        </w:rPr>
        <w:t xml:space="preserve">wnioski, </w:t>
      </w:r>
      <w:r w:rsidR="0042691D" w:rsidRPr="004F455B">
        <w:rPr>
          <w:rFonts w:ascii="Arial" w:eastAsia="Arial" w:hAnsi="Arial" w:cs="Arial"/>
          <w:bCs/>
          <w:color w:val="000000" w:themeColor="text1"/>
        </w:rPr>
        <w:t xml:space="preserve">opis </w:t>
      </w:r>
      <w:r w:rsidR="00F26856" w:rsidRPr="004F455B">
        <w:rPr>
          <w:rFonts w:ascii="Arial" w:eastAsia="Arial" w:hAnsi="Arial" w:cs="Arial"/>
          <w:bCs/>
          <w:color w:val="000000" w:themeColor="text1"/>
        </w:rPr>
        <w:t>perspektyw wdrożenia i/lub komercjalizacji</w:t>
      </w:r>
      <w:r w:rsidR="007F6BF5" w:rsidRPr="004F455B">
        <w:rPr>
          <w:rFonts w:ascii="Arial" w:eastAsia="Arial" w:hAnsi="Arial" w:cs="Arial"/>
          <w:bCs/>
          <w:color w:val="000000" w:themeColor="text1"/>
        </w:rPr>
        <w:t xml:space="preserve"> oraz</w:t>
      </w:r>
      <w:r w:rsidR="0042691D" w:rsidRPr="004F455B">
        <w:rPr>
          <w:rFonts w:ascii="Arial" w:eastAsia="Arial" w:hAnsi="Arial" w:cs="Arial"/>
          <w:bCs/>
          <w:color w:val="000000" w:themeColor="text1"/>
        </w:rPr>
        <w:t xml:space="preserve"> podsumowanie</w:t>
      </w:r>
      <w:r w:rsidR="00F26856" w:rsidRPr="004F455B">
        <w:rPr>
          <w:rFonts w:ascii="Arial" w:eastAsia="Arial" w:hAnsi="Arial" w:cs="Arial"/>
          <w:bCs/>
          <w:color w:val="000000" w:themeColor="text1"/>
        </w:rPr>
        <w:t>.</w:t>
      </w:r>
      <w:r w:rsidR="0042691D" w:rsidRPr="004F455B">
        <w:rPr>
          <w:rFonts w:ascii="Arial" w:eastAsia="Arial" w:hAnsi="Arial" w:cs="Arial"/>
          <w:bCs/>
          <w:color w:val="000000" w:themeColor="text1"/>
        </w:rPr>
        <w:t xml:space="preserve"> Wszystkie podjęte działania powinny być udokumentowane. </w:t>
      </w:r>
    </w:p>
    <w:p w14:paraId="2402B685" w14:textId="77777777" w:rsidR="00B66260" w:rsidRPr="004F455B" w:rsidRDefault="003A278F" w:rsidP="00AF54DD">
      <w:pPr>
        <w:pStyle w:val="Default"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240" w:after="240" w:line="360" w:lineRule="auto"/>
        <w:ind w:left="714" w:hanging="357"/>
        <w:jc w:val="both"/>
        <w:rPr>
          <w:rFonts w:ascii="Arial" w:eastAsia="Arial" w:hAnsi="Arial" w:cs="Arial"/>
        </w:rPr>
      </w:pPr>
      <w:r w:rsidRPr="004F455B">
        <w:rPr>
          <w:rFonts w:ascii="Arial" w:eastAsia="Arial" w:hAnsi="Arial" w:cs="Arial"/>
          <w:bCs/>
          <w:color w:val="000000" w:themeColor="text1"/>
        </w:rPr>
        <w:t>Raport zostanie przekazany w terminie 7 dni roboczych od zakończenia</w:t>
      </w:r>
      <w:r w:rsidR="000152E8" w:rsidRPr="004F455B">
        <w:rPr>
          <w:rFonts w:ascii="Arial" w:eastAsia="Arial" w:hAnsi="Arial" w:cs="Arial"/>
          <w:bCs/>
          <w:color w:val="000000" w:themeColor="text1"/>
        </w:rPr>
        <w:t xml:space="preserve"> </w:t>
      </w:r>
      <w:r w:rsidR="004722FD" w:rsidRPr="004F455B">
        <w:rPr>
          <w:rFonts w:ascii="Arial" w:eastAsia="Arial" w:hAnsi="Arial" w:cs="Arial"/>
          <w:bCs/>
          <w:color w:val="000000" w:themeColor="text1"/>
        </w:rPr>
        <w:t>Projektu</w:t>
      </w:r>
      <w:r w:rsidR="000152E8" w:rsidRPr="004F455B">
        <w:rPr>
          <w:rFonts w:ascii="Arial" w:eastAsia="Arial" w:hAnsi="Arial" w:cs="Arial"/>
          <w:bCs/>
          <w:color w:val="000000" w:themeColor="text1"/>
        </w:rPr>
        <w:t xml:space="preserve">, </w:t>
      </w:r>
      <w:r w:rsidR="004722FD" w:rsidRPr="004F455B">
        <w:rPr>
          <w:rFonts w:ascii="Arial" w:eastAsia="Arial" w:hAnsi="Arial" w:cs="Arial"/>
          <w:bCs/>
          <w:color w:val="000000" w:themeColor="text1"/>
        </w:rPr>
        <w:t xml:space="preserve">nie później jednak niż </w:t>
      </w:r>
      <w:r w:rsidR="000152E8" w:rsidRPr="004F455B">
        <w:rPr>
          <w:rFonts w:ascii="Arial" w:eastAsia="Arial" w:hAnsi="Arial" w:cs="Arial"/>
          <w:bCs/>
          <w:color w:val="000000" w:themeColor="text1"/>
        </w:rPr>
        <w:t xml:space="preserve"> do dnia 10 grudnia 2024 r.</w:t>
      </w:r>
    </w:p>
    <w:p w14:paraId="1720C903" w14:textId="77777777" w:rsidR="00B66260" w:rsidRPr="004F455B" w:rsidRDefault="00B66260" w:rsidP="00B66260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</w:rPr>
      </w:pPr>
      <w:r w:rsidRPr="004F455B">
        <w:rPr>
          <w:rFonts w:ascii="Arial" w:eastAsia="Arial" w:hAnsi="Arial" w:cs="Arial"/>
          <w:b/>
          <w:bCs/>
          <w:color w:val="000000" w:themeColor="text1"/>
        </w:rPr>
        <w:t>§</w:t>
      </w:r>
      <w:r w:rsidR="0071183E" w:rsidRPr="004F455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bCs/>
          <w:color w:val="000000" w:themeColor="text1"/>
        </w:rPr>
        <w:t>7.</w:t>
      </w:r>
    </w:p>
    <w:p w14:paraId="376DE2D0" w14:textId="71E060E5" w:rsidR="00B66260" w:rsidRPr="007A4543" w:rsidRDefault="00B66260" w:rsidP="007A4543">
      <w:pPr>
        <w:pStyle w:val="Default"/>
        <w:spacing w:before="240" w:after="240" w:line="360" w:lineRule="auto"/>
        <w:jc w:val="center"/>
        <w:rPr>
          <w:rFonts w:ascii="Arial" w:eastAsia="Arial" w:hAnsi="Arial" w:cs="Arial"/>
          <w:b/>
          <w:bCs/>
        </w:rPr>
      </w:pPr>
      <w:r w:rsidRPr="004F455B">
        <w:rPr>
          <w:rFonts w:ascii="Arial" w:eastAsia="Arial" w:hAnsi="Arial" w:cs="Arial"/>
          <w:b/>
          <w:bCs/>
          <w:color w:val="000000" w:themeColor="text1"/>
        </w:rPr>
        <w:t>Postanowienia</w:t>
      </w:r>
      <w:r w:rsidR="0071183E" w:rsidRPr="004F455B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4F455B">
        <w:rPr>
          <w:rFonts w:ascii="Arial" w:eastAsia="Arial" w:hAnsi="Arial" w:cs="Arial"/>
          <w:b/>
          <w:bCs/>
          <w:color w:val="000000" w:themeColor="text1"/>
        </w:rPr>
        <w:t>końcowe</w:t>
      </w:r>
    </w:p>
    <w:p w14:paraId="0DA31B82" w14:textId="77777777" w:rsidR="00B66260" w:rsidRPr="004F455B" w:rsidRDefault="00B66260" w:rsidP="00AF54DD">
      <w:pPr>
        <w:pStyle w:val="Akapitzlist"/>
        <w:numPr>
          <w:ilvl w:val="3"/>
          <w:numId w:val="13"/>
        </w:numPr>
        <w:spacing w:before="240" w:after="240" w:line="360" w:lineRule="auto"/>
        <w:ind w:left="284" w:hanging="28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W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sprawach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nieuregulowanych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niniejszym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Regulaminem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decyzje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podejmuje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Przewodniczący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Komisji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Konkursowej.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5630AD1" w14:textId="77777777" w:rsidR="00B66260" w:rsidRPr="004F455B" w:rsidRDefault="00B66260" w:rsidP="00AF54DD">
      <w:pPr>
        <w:pStyle w:val="Akapitzlist"/>
        <w:numPr>
          <w:ilvl w:val="3"/>
          <w:numId w:val="13"/>
        </w:numPr>
        <w:spacing w:before="240" w:after="240" w:line="360" w:lineRule="auto"/>
        <w:ind w:left="284" w:hanging="284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Uczelnie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Partnerskie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zastrzega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sobie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prawo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zmiany</w:t>
      </w:r>
      <w:r w:rsidR="0071183E"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 w:themeColor="text1"/>
          <w:sz w:val="24"/>
          <w:szCs w:val="24"/>
        </w:rPr>
        <w:t>Regulaminu.</w:t>
      </w:r>
    </w:p>
    <w:p w14:paraId="03A2BD6F" w14:textId="77777777" w:rsidR="00B66260" w:rsidRPr="004F455B" w:rsidRDefault="00B66260" w:rsidP="00B66260">
      <w:pPr>
        <w:spacing w:before="240" w:after="240"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1B13DCC4" w14:textId="77777777" w:rsidR="00ED49E2" w:rsidRPr="004F455B" w:rsidRDefault="00ED49E2" w:rsidP="00B66260">
      <w:pPr>
        <w:spacing w:before="240" w:after="240"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64090DBD" w14:textId="77777777" w:rsidR="00B66260" w:rsidRPr="004F455B" w:rsidRDefault="00B66260" w:rsidP="00B66260">
      <w:pPr>
        <w:spacing w:before="240" w:after="240"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Załączniki:</w:t>
      </w:r>
    </w:p>
    <w:p w14:paraId="4A60F0E3" w14:textId="77777777" w:rsidR="00B66260" w:rsidRPr="004F455B" w:rsidRDefault="00B66260" w:rsidP="00B66260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Formularz</w:t>
      </w:r>
      <w:r w:rsidR="0071183E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zgłoszeniowy</w:t>
      </w:r>
      <w:r w:rsidR="0071183E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do</w:t>
      </w:r>
      <w:r w:rsidR="0071183E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konkursu</w:t>
      </w:r>
      <w:r w:rsidR="0071183E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„INNOSPIN</w:t>
      </w:r>
      <w:r w:rsidR="00AF54DD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EDYCJA 2024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”</w:t>
      </w:r>
      <w:r w:rsidR="00AF54DD" w:rsidRPr="004F455B">
        <w:rPr>
          <w:rFonts w:ascii="Arial" w:eastAsia="Arial" w:hAnsi="Arial" w:cs="Arial"/>
          <w:bCs/>
          <w:color w:val="000000"/>
          <w:sz w:val="24"/>
          <w:szCs w:val="24"/>
        </w:rPr>
        <w:t>;</w:t>
      </w:r>
    </w:p>
    <w:p w14:paraId="04061D85" w14:textId="77777777" w:rsidR="00B66260" w:rsidRPr="004F455B" w:rsidRDefault="00B66260" w:rsidP="00B66260">
      <w:pPr>
        <w:pStyle w:val="Akapitzlist"/>
        <w:numPr>
          <w:ilvl w:val="0"/>
          <w:numId w:val="14"/>
        </w:num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Kosztorys</w:t>
      </w:r>
      <w:r w:rsidR="0071183E" w:rsidRPr="004F455B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4F455B">
        <w:rPr>
          <w:rFonts w:ascii="Arial" w:eastAsia="Arial" w:hAnsi="Arial" w:cs="Arial"/>
          <w:bCs/>
          <w:color w:val="000000"/>
          <w:sz w:val="24"/>
          <w:szCs w:val="24"/>
        </w:rPr>
        <w:t>wniosku</w:t>
      </w:r>
      <w:r w:rsidR="00AF54DD" w:rsidRPr="004F455B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sectPr w:rsidR="00B66260" w:rsidRPr="004F455B" w:rsidSect="0046676E">
      <w:headerReference w:type="default" r:id="rId10"/>
      <w:footerReference w:type="default" r:id="rId11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2E4C71" w16cex:dateUtc="2024-03-26T06:37:00Z"/>
  <w16cex:commentExtensible w16cex:durableId="7F0BB348" w16cex:dateUtc="2024-03-26T06:4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11051" w14:textId="77777777" w:rsidR="00296E47" w:rsidRDefault="00296E47" w:rsidP="00FF4F46">
      <w:pPr>
        <w:spacing w:after="0" w:line="240" w:lineRule="auto"/>
      </w:pPr>
      <w:r>
        <w:separator/>
      </w:r>
    </w:p>
  </w:endnote>
  <w:endnote w:type="continuationSeparator" w:id="0">
    <w:p w14:paraId="51EDB447" w14:textId="77777777" w:rsidR="00296E47" w:rsidRDefault="00296E4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24921" w14:textId="274DB005" w:rsidR="0071183E" w:rsidRPr="00D01A0D" w:rsidRDefault="0071183E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1FFD1B71" wp14:editId="4C128CA6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EAAAAE5" wp14:editId="746B174A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22B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23936" behindDoc="0" locked="0" layoutInCell="1" allowOverlap="1" wp14:anchorId="4B6954B6" wp14:editId="2D47672B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2603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BA3136" id="Łącznik prosty 1" o:spid="_x0000_s1026" style="position:absolute;z-index:2516239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21CC6762" w14:textId="77777777" w:rsidR="0071183E" w:rsidRPr="007A4C95" w:rsidRDefault="0071183E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39A6DFC3" w14:textId="77777777" w:rsidR="0071183E" w:rsidRDefault="0071183E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4C810" w14:textId="77777777" w:rsidR="00296E47" w:rsidRDefault="00296E47" w:rsidP="00FF4F46">
      <w:pPr>
        <w:spacing w:after="0" w:line="240" w:lineRule="auto"/>
      </w:pPr>
      <w:r>
        <w:separator/>
      </w:r>
    </w:p>
  </w:footnote>
  <w:footnote w:type="continuationSeparator" w:id="0">
    <w:p w14:paraId="1D94B4DC" w14:textId="77777777" w:rsidR="00296E47" w:rsidRDefault="00296E4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7E155" w14:textId="77777777" w:rsidR="0071183E" w:rsidRDefault="007118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C44D1D9" wp14:editId="1733241D">
          <wp:simplePos x="0" y="0"/>
          <wp:positionH relativeFrom="column">
            <wp:posOffset>-426085</wp:posOffset>
          </wp:positionH>
          <wp:positionV relativeFrom="paragraph">
            <wp:posOffset>-835660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A0B"/>
    <w:multiLevelType w:val="hybridMultilevel"/>
    <w:tmpl w:val="0CDC9878"/>
    <w:lvl w:ilvl="0" w:tplc="CD12CC0A">
      <w:start w:val="1"/>
      <w:numFmt w:val="decimal"/>
      <w:lvlText w:val="%1."/>
      <w:lvlJc w:val="left"/>
      <w:pPr>
        <w:ind w:left="720" w:hanging="360"/>
      </w:pPr>
    </w:lvl>
    <w:lvl w:ilvl="1" w:tplc="22F8E6B4">
      <w:start w:val="1"/>
      <w:numFmt w:val="decimal"/>
      <w:lvlText w:val="%2)"/>
      <w:lvlJc w:val="left"/>
      <w:pPr>
        <w:ind w:left="1440" w:hanging="360"/>
      </w:pPr>
    </w:lvl>
    <w:lvl w:ilvl="2" w:tplc="0750FDFA">
      <w:start w:val="1"/>
      <w:numFmt w:val="lowerRoman"/>
      <w:lvlText w:val="%3."/>
      <w:lvlJc w:val="right"/>
      <w:pPr>
        <w:ind w:left="2160" w:hanging="180"/>
      </w:pPr>
    </w:lvl>
    <w:lvl w:ilvl="3" w:tplc="F5A66664">
      <w:start w:val="1"/>
      <w:numFmt w:val="decimal"/>
      <w:lvlText w:val="%4."/>
      <w:lvlJc w:val="left"/>
      <w:pPr>
        <w:ind w:left="2880" w:hanging="360"/>
      </w:pPr>
    </w:lvl>
    <w:lvl w:ilvl="4" w:tplc="A74CB6BC">
      <w:start w:val="1"/>
      <w:numFmt w:val="lowerLetter"/>
      <w:lvlText w:val="%5."/>
      <w:lvlJc w:val="left"/>
      <w:pPr>
        <w:ind w:left="3600" w:hanging="360"/>
      </w:pPr>
    </w:lvl>
    <w:lvl w:ilvl="5" w:tplc="E94CAFF8">
      <w:start w:val="1"/>
      <w:numFmt w:val="lowerRoman"/>
      <w:lvlText w:val="%6."/>
      <w:lvlJc w:val="right"/>
      <w:pPr>
        <w:ind w:left="4320" w:hanging="180"/>
      </w:pPr>
    </w:lvl>
    <w:lvl w:ilvl="6" w:tplc="5CBE8368">
      <w:start w:val="1"/>
      <w:numFmt w:val="decimal"/>
      <w:lvlText w:val="%7."/>
      <w:lvlJc w:val="left"/>
      <w:pPr>
        <w:ind w:left="5040" w:hanging="360"/>
      </w:pPr>
    </w:lvl>
    <w:lvl w:ilvl="7" w:tplc="B4FC9B6E">
      <w:start w:val="1"/>
      <w:numFmt w:val="lowerLetter"/>
      <w:lvlText w:val="%8."/>
      <w:lvlJc w:val="left"/>
      <w:pPr>
        <w:ind w:left="5760" w:hanging="360"/>
      </w:pPr>
    </w:lvl>
    <w:lvl w:ilvl="8" w:tplc="733A0D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AEF"/>
    <w:multiLevelType w:val="hybridMultilevel"/>
    <w:tmpl w:val="4520372C"/>
    <w:lvl w:ilvl="0" w:tplc="0FCC7EA4">
      <w:start w:val="1"/>
      <w:numFmt w:val="decimal"/>
      <w:lvlText w:val="%1."/>
      <w:lvlJc w:val="left"/>
      <w:pPr>
        <w:ind w:left="720" w:hanging="360"/>
      </w:pPr>
    </w:lvl>
    <w:lvl w:ilvl="1" w:tplc="D1D45624">
      <w:start w:val="2"/>
      <w:numFmt w:val="decimal"/>
      <w:lvlText w:val="%2)"/>
      <w:lvlJc w:val="left"/>
      <w:pPr>
        <w:ind w:left="1440" w:hanging="360"/>
      </w:pPr>
    </w:lvl>
    <w:lvl w:ilvl="2" w:tplc="09EE4804">
      <w:start w:val="1"/>
      <w:numFmt w:val="lowerRoman"/>
      <w:lvlText w:val="%3."/>
      <w:lvlJc w:val="right"/>
      <w:pPr>
        <w:ind w:left="2160" w:hanging="180"/>
      </w:pPr>
    </w:lvl>
    <w:lvl w:ilvl="3" w:tplc="3AD6738A">
      <w:start w:val="1"/>
      <w:numFmt w:val="decimal"/>
      <w:lvlText w:val="%4."/>
      <w:lvlJc w:val="left"/>
      <w:pPr>
        <w:ind w:left="2880" w:hanging="360"/>
      </w:pPr>
    </w:lvl>
    <w:lvl w:ilvl="4" w:tplc="E5C66922">
      <w:start w:val="1"/>
      <w:numFmt w:val="lowerLetter"/>
      <w:lvlText w:val="%5."/>
      <w:lvlJc w:val="left"/>
      <w:pPr>
        <w:ind w:left="3600" w:hanging="360"/>
      </w:pPr>
    </w:lvl>
    <w:lvl w:ilvl="5" w:tplc="9D1CB2F6">
      <w:start w:val="1"/>
      <w:numFmt w:val="lowerRoman"/>
      <w:lvlText w:val="%6."/>
      <w:lvlJc w:val="right"/>
      <w:pPr>
        <w:ind w:left="4320" w:hanging="180"/>
      </w:pPr>
    </w:lvl>
    <w:lvl w:ilvl="6" w:tplc="3A5E9884">
      <w:start w:val="1"/>
      <w:numFmt w:val="decimal"/>
      <w:lvlText w:val="%7."/>
      <w:lvlJc w:val="left"/>
      <w:pPr>
        <w:ind w:left="5040" w:hanging="360"/>
      </w:pPr>
    </w:lvl>
    <w:lvl w:ilvl="7" w:tplc="87C06124">
      <w:start w:val="1"/>
      <w:numFmt w:val="lowerLetter"/>
      <w:lvlText w:val="%8."/>
      <w:lvlJc w:val="left"/>
      <w:pPr>
        <w:ind w:left="5760" w:hanging="360"/>
      </w:pPr>
    </w:lvl>
    <w:lvl w:ilvl="8" w:tplc="194A84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AFE"/>
    <w:multiLevelType w:val="hybridMultilevel"/>
    <w:tmpl w:val="B694F1B8"/>
    <w:lvl w:ilvl="0" w:tplc="EA685028">
      <w:start w:val="1"/>
      <w:numFmt w:val="decimal"/>
      <w:lvlText w:val="%1."/>
      <w:lvlJc w:val="left"/>
      <w:pPr>
        <w:ind w:left="720" w:hanging="360"/>
      </w:pPr>
    </w:lvl>
    <w:lvl w:ilvl="1" w:tplc="7BC6FC7C">
      <w:start w:val="1"/>
      <w:numFmt w:val="lowerLetter"/>
      <w:lvlText w:val="%2."/>
      <w:lvlJc w:val="left"/>
      <w:pPr>
        <w:ind w:left="1440" w:hanging="360"/>
      </w:pPr>
    </w:lvl>
    <w:lvl w:ilvl="2" w:tplc="D3785390">
      <w:start w:val="1"/>
      <w:numFmt w:val="lowerRoman"/>
      <w:lvlText w:val="%3."/>
      <w:lvlJc w:val="right"/>
      <w:pPr>
        <w:ind w:left="2160" w:hanging="180"/>
      </w:pPr>
    </w:lvl>
    <w:lvl w:ilvl="3" w:tplc="0B2CD14E">
      <w:start w:val="1"/>
      <w:numFmt w:val="decimal"/>
      <w:lvlText w:val="%4."/>
      <w:lvlJc w:val="left"/>
      <w:pPr>
        <w:ind w:left="2880" w:hanging="360"/>
      </w:pPr>
    </w:lvl>
    <w:lvl w:ilvl="4" w:tplc="361E94A0">
      <w:start w:val="1"/>
      <w:numFmt w:val="lowerLetter"/>
      <w:lvlText w:val="%5."/>
      <w:lvlJc w:val="left"/>
      <w:pPr>
        <w:ind w:left="3600" w:hanging="360"/>
      </w:pPr>
    </w:lvl>
    <w:lvl w:ilvl="5" w:tplc="516AA4BE">
      <w:start w:val="1"/>
      <w:numFmt w:val="lowerRoman"/>
      <w:lvlText w:val="%6."/>
      <w:lvlJc w:val="right"/>
      <w:pPr>
        <w:ind w:left="4320" w:hanging="180"/>
      </w:pPr>
    </w:lvl>
    <w:lvl w:ilvl="6" w:tplc="98B0FBD0">
      <w:start w:val="1"/>
      <w:numFmt w:val="decimal"/>
      <w:lvlText w:val="%7."/>
      <w:lvlJc w:val="left"/>
      <w:pPr>
        <w:ind w:left="5040" w:hanging="360"/>
      </w:pPr>
    </w:lvl>
    <w:lvl w:ilvl="7" w:tplc="E59C5556">
      <w:start w:val="1"/>
      <w:numFmt w:val="lowerLetter"/>
      <w:lvlText w:val="%8."/>
      <w:lvlJc w:val="left"/>
      <w:pPr>
        <w:ind w:left="5760" w:hanging="360"/>
      </w:pPr>
    </w:lvl>
    <w:lvl w:ilvl="8" w:tplc="4B5EEB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6AB6"/>
    <w:multiLevelType w:val="hybridMultilevel"/>
    <w:tmpl w:val="133A1436"/>
    <w:lvl w:ilvl="0" w:tplc="C4D6C206">
      <w:start w:val="1"/>
      <w:numFmt w:val="decimal"/>
      <w:lvlText w:val="%1."/>
      <w:lvlJc w:val="left"/>
      <w:pPr>
        <w:ind w:left="720" w:hanging="360"/>
      </w:pPr>
    </w:lvl>
    <w:lvl w:ilvl="1" w:tplc="0730026C">
      <w:start w:val="1"/>
      <w:numFmt w:val="lowerLetter"/>
      <w:lvlText w:val="%2."/>
      <w:lvlJc w:val="left"/>
      <w:pPr>
        <w:ind w:left="1440" w:hanging="360"/>
      </w:pPr>
    </w:lvl>
    <w:lvl w:ilvl="2" w:tplc="493C16A2">
      <w:start w:val="1"/>
      <w:numFmt w:val="lowerRoman"/>
      <w:lvlText w:val="%3."/>
      <w:lvlJc w:val="right"/>
      <w:pPr>
        <w:ind w:left="2160" w:hanging="180"/>
      </w:pPr>
    </w:lvl>
    <w:lvl w:ilvl="3" w:tplc="83E0BBB2">
      <w:start w:val="1"/>
      <w:numFmt w:val="decimal"/>
      <w:lvlText w:val="%4."/>
      <w:lvlJc w:val="left"/>
      <w:pPr>
        <w:ind w:left="2880" w:hanging="360"/>
      </w:pPr>
    </w:lvl>
    <w:lvl w:ilvl="4" w:tplc="4DCA8C38">
      <w:start w:val="1"/>
      <w:numFmt w:val="lowerLetter"/>
      <w:lvlText w:val="%5."/>
      <w:lvlJc w:val="left"/>
      <w:pPr>
        <w:ind w:left="3600" w:hanging="360"/>
      </w:pPr>
    </w:lvl>
    <w:lvl w:ilvl="5" w:tplc="B226C74C">
      <w:start w:val="1"/>
      <w:numFmt w:val="lowerRoman"/>
      <w:lvlText w:val="%6."/>
      <w:lvlJc w:val="right"/>
      <w:pPr>
        <w:ind w:left="4320" w:hanging="180"/>
      </w:pPr>
    </w:lvl>
    <w:lvl w:ilvl="6" w:tplc="2FF0510E">
      <w:start w:val="1"/>
      <w:numFmt w:val="decimal"/>
      <w:lvlText w:val="%7."/>
      <w:lvlJc w:val="left"/>
      <w:pPr>
        <w:ind w:left="5040" w:hanging="360"/>
      </w:pPr>
    </w:lvl>
    <w:lvl w:ilvl="7" w:tplc="090A1946">
      <w:start w:val="1"/>
      <w:numFmt w:val="lowerLetter"/>
      <w:lvlText w:val="%8."/>
      <w:lvlJc w:val="left"/>
      <w:pPr>
        <w:ind w:left="5760" w:hanging="360"/>
      </w:pPr>
    </w:lvl>
    <w:lvl w:ilvl="8" w:tplc="E9E461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AC0081"/>
    <w:multiLevelType w:val="hybridMultilevel"/>
    <w:tmpl w:val="E4C60A36"/>
    <w:lvl w:ilvl="0" w:tplc="0F7E9BA4">
      <w:start w:val="1"/>
      <w:numFmt w:val="decimal"/>
      <w:lvlText w:val="%1)"/>
      <w:lvlJc w:val="left"/>
      <w:pPr>
        <w:ind w:left="644" w:hanging="360"/>
      </w:pPr>
      <w:rPr>
        <w:b w:val="0"/>
        <w:strike w:val="0"/>
      </w:rPr>
    </w:lvl>
    <w:lvl w:ilvl="1" w:tplc="8138A952">
      <w:start w:val="1"/>
      <w:numFmt w:val="lowerLetter"/>
      <w:lvlText w:val="%2."/>
      <w:lvlJc w:val="left"/>
      <w:pPr>
        <w:ind w:left="1724" w:hanging="360"/>
      </w:pPr>
    </w:lvl>
    <w:lvl w:ilvl="2" w:tplc="53F0798C">
      <w:start w:val="1"/>
      <w:numFmt w:val="lowerRoman"/>
      <w:lvlText w:val="%3."/>
      <w:lvlJc w:val="right"/>
      <w:pPr>
        <w:ind w:left="2444" w:hanging="180"/>
      </w:pPr>
    </w:lvl>
    <w:lvl w:ilvl="3" w:tplc="5DC00E96">
      <w:start w:val="1"/>
      <w:numFmt w:val="decimal"/>
      <w:lvlText w:val="%4."/>
      <w:lvlJc w:val="left"/>
      <w:pPr>
        <w:ind w:left="3164" w:hanging="360"/>
      </w:pPr>
    </w:lvl>
    <w:lvl w:ilvl="4" w:tplc="F6466F3C">
      <w:start w:val="1"/>
      <w:numFmt w:val="lowerLetter"/>
      <w:lvlText w:val="%5."/>
      <w:lvlJc w:val="left"/>
      <w:pPr>
        <w:ind w:left="3884" w:hanging="360"/>
      </w:pPr>
    </w:lvl>
    <w:lvl w:ilvl="5" w:tplc="ADAC4ACA">
      <w:start w:val="1"/>
      <w:numFmt w:val="lowerRoman"/>
      <w:lvlText w:val="%6."/>
      <w:lvlJc w:val="right"/>
      <w:pPr>
        <w:ind w:left="4604" w:hanging="180"/>
      </w:pPr>
    </w:lvl>
    <w:lvl w:ilvl="6" w:tplc="7938C79C">
      <w:start w:val="1"/>
      <w:numFmt w:val="decimal"/>
      <w:lvlText w:val="%7."/>
      <w:lvlJc w:val="left"/>
      <w:pPr>
        <w:ind w:left="5324" w:hanging="360"/>
      </w:pPr>
    </w:lvl>
    <w:lvl w:ilvl="7" w:tplc="46BAD32E">
      <w:start w:val="1"/>
      <w:numFmt w:val="lowerLetter"/>
      <w:lvlText w:val="%8."/>
      <w:lvlJc w:val="left"/>
      <w:pPr>
        <w:ind w:left="6044" w:hanging="360"/>
      </w:pPr>
    </w:lvl>
    <w:lvl w:ilvl="8" w:tplc="35DCC900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60601B"/>
    <w:multiLevelType w:val="hybridMultilevel"/>
    <w:tmpl w:val="64B886FC"/>
    <w:lvl w:ilvl="0" w:tplc="EE1C58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74FCD0">
      <w:start w:val="1"/>
      <w:numFmt w:val="lowerLetter"/>
      <w:lvlText w:val="%2."/>
      <w:lvlJc w:val="left"/>
      <w:pPr>
        <w:ind w:left="1440" w:hanging="360"/>
      </w:pPr>
    </w:lvl>
    <w:lvl w:ilvl="2" w:tplc="59BE54E8">
      <w:start w:val="1"/>
      <w:numFmt w:val="lowerRoman"/>
      <w:lvlText w:val="%3."/>
      <w:lvlJc w:val="right"/>
      <w:pPr>
        <w:ind w:left="2160" w:hanging="180"/>
      </w:pPr>
    </w:lvl>
    <w:lvl w:ilvl="3" w:tplc="C1A2FE52">
      <w:start w:val="1"/>
      <w:numFmt w:val="decimal"/>
      <w:lvlText w:val="%4."/>
      <w:lvlJc w:val="left"/>
      <w:pPr>
        <w:ind w:left="2880" w:hanging="360"/>
      </w:pPr>
    </w:lvl>
    <w:lvl w:ilvl="4" w:tplc="419437FE">
      <w:start w:val="1"/>
      <w:numFmt w:val="lowerLetter"/>
      <w:lvlText w:val="%5."/>
      <w:lvlJc w:val="left"/>
      <w:pPr>
        <w:ind w:left="3600" w:hanging="360"/>
      </w:pPr>
    </w:lvl>
    <w:lvl w:ilvl="5" w:tplc="7DF81FA2">
      <w:start w:val="1"/>
      <w:numFmt w:val="lowerRoman"/>
      <w:lvlText w:val="%6."/>
      <w:lvlJc w:val="right"/>
      <w:pPr>
        <w:ind w:left="4320" w:hanging="180"/>
      </w:pPr>
    </w:lvl>
    <w:lvl w:ilvl="6" w:tplc="0AA6F37E">
      <w:start w:val="1"/>
      <w:numFmt w:val="decimal"/>
      <w:lvlText w:val="%7."/>
      <w:lvlJc w:val="left"/>
      <w:pPr>
        <w:ind w:left="5040" w:hanging="360"/>
      </w:pPr>
    </w:lvl>
    <w:lvl w:ilvl="7" w:tplc="F1F61B54">
      <w:start w:val="1"/>
      <w:numFmt w:val="lowerLetter"/>
      <w:lvlText w:val="%8."/>
      <w:lvlJc w:val="left"/>
      <w:pPr>
        <w:ind w:left="5760" w:hanging="360"/>
      </w:pPr>
    </w:lvl>
    <w:lvl w:ilvl="8" w:tplc="A7F4B1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AE19CD"/>
    <w:multiLevelType w:val="hybridMultilevel"/>
    <w:tmpl w:val="2A044D26"/>
    <w:lvl w:ilvl="0" w:tplc="11D2EE32">
      <w:start w:val="1"/>
      <w:numFmt w:val="decimal"/>
      <w:lvlText w:val="%1."/>
      <w:lvlJc w:val="left"/>
      <w:pPr>
        <w:ind w:left="720" w:hanging="360"/>
      </w:pPr>
    </w:lvl>
    <w:lvl w:ilvl="1" w:tplc="9C0AAB34">
      <w:start w:val="1"/>
      <w:numFmt w:val="decimal"/>
      <w:lvlText w:val="%2)"/>
      <w:lvlJc w:val="left"/>
      <w:pPr>
        <w:ind w:left="1440" w:hanging="360"/>
      </w:pPr>
    </w:lvl>
    <w:lvl w:ilvl="2" w:tplc="5CA48184">
      <w:start w:val="1"/>
      <w:numFmt w:val="lowerRoman"/>
      <w:lvlText w:val="%3."/>
      <w:lvlJc w:val="right"/>
      <w:pPr>
        <w:ind w:left="2160" w:hanging="180"/>
      </w:pPr>
    </w:lvl>
    <w:lvl w:ilvl="3" w:tplc="0B66CDD6">
      <w:start w:val="1"/>
      <w:numFmt w:val="decimal"/>
      <w:lvlText w:val="%4."/>
      <w:lvlJc w:val="left"/>
      <w:pPr>
        <w:ind w:left="2880" w:hanging="360"/>
      </w:pPr>
    </w:lvl>
    <w:lvl w:ilvl="4" w:tplc="460CA566">
      <w:start w:val="1"/>
      <w:numFmt w:val="lowerLetter"/>
      <w:lvlText w:val="%5."/>
      <w:lvlJc w:val="left"/>
      <w:pPr>
        <w:ind w:left="3600" w:hanging="360"/>
      </w:pPr>
    </w:lvl>
    <w:lvl w:ilvl="5" w:tplc="D5F0EC90">
      <w:start w:val="1"/>
      <w:numFmt w:val="lowerRoman"/>
      <w:lvlText w:val="%6."/>
      <w:lvlJc w:val="right"/>
      <w:pPr>
        <w:ind w:left="4320" w:hanging="180"/>
      </w:pPr>
    </w:lvl>
    <w:lvl w:ilvl="6" w:tplc="DACE9D90">
      <w:start w:val="1"/>
      <w:numFmt w:val="decimal"/>
      <w:lvlText w:val="%7."/>
      <w:lvlJc w:val="left"/>
      <w:pPr>
        <w:ind w:left="5040" w:hanging="360"/>
      </w:pPr>
    </w:lvl>
    <w:lvl w:ilvl="7" w:tplc="1D4C2B8A">
      <w:start w:val="1"/>
      <w:numFmt w:val="lowerLetter"/>
      <w:lvlText w:val="%8."/>
      <w:lvlJc w:val="left"/>
      <w:pPr>
        <w:ind w:left="5760" w:hanging="360"/>
      </w:pPr>
    </w:lvl>
    <w:lvl w:ilvl="8" w:tplc="90C683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6E9"/>
    <w:multiLevelType w:val="hybridMultilevel"/>
    <w:tmpl w:val="5E5C7EAA"/>
    <w:lvl w:ilvl="0" w:tplc="A22C124A">
      <w:start w:val="1"/>
      <w:numFmt w:val="decimal"/>
      <w:lvlText w:val="%1."/>
      <w:lvlJc w:val="left"/>
      <w:pPr>
        <w:ind w:left="720" w:hanging="360"/>
      </w:pPr>
    </w:lvl>
    <w:lvl w:ilvl="1" w:tplc="1A5CC172">
      <w:start w:val="1"/>
      <w:numFmt w:val="lowerLetter"/>
      <w:lvlText w:val="%2."/>
      <w:lvlJc w:val="left"/>
      <w:pPr>
        <w:ind w:left="1440" w:hanging="360"/>
      </w:pPr>
    </w:lvl>
    <w:lvl w:ilvl="2" w:tplc="BB76559A">
      <w:start w:val="1"/>
      <w:numFmt w:val="lowerRoman"/>
      <w:lvlText w:val="%3."/>
      <w:lvlJc w:val="right"/>
      <w:pPr>
        <w:ind w:left="2160" w:hanging="180"/>
      </w:pPr>
    </w:lvl>
    <w:lvl w:ilvl="3" w:tplc="68C22FFA">
      <w:start w:val="1"/>
      <w:numFmt w:val="decimal"/>
      <w:lvlText w:val="%4."/>
      <w:lvlJc w:val="left"/>
      <w:pPr>
        <w:ind w:left="2880" w:hanging="360"/>
      </w:pPr>
    </w:lvl>
    <w:lvl w:ilvl="4" w:tplc="0E228738">
      <w:start w:val="1"/>
      <w:numFmt w:val="lowerLetter"/>
      <w:lvlText w:val="%5."/>
      <w:lvlJc w:val="left"/>
      <w:pPr>
        <w:ind w:left="3600" w:hanging="360"/>
      </w:pPr>
    </w:lvl>
    <w:lvl w:ilvl="5" w:tplc="10340366">
      <w:start w:val="1"/>
      <w:numFmt w:val="lowerRoman"/>
      <w:lvlText w:val="%6."/>
      <w:lvlJc w:val="right"/>
      <w:pPr>
        <w:ind w:left="4320" w:hanging="180"/>
      </w:pPr>
    </w:lvl>
    <w:lvl w:ilvl="6" w:tplc="E316768E">
      <w:start w:val="1"/>
      <w:numFmt w:val="decimal"/>
      <w:lvlText w:val="%7."/>
      <w:lvlJc w:val="left"/>
      <w:pPr>
        <w:ind w:left="5040" w:hanging="360"/>
      </w:pPr>
    </w:lvl>
    <w:lvl w:ilvl="7" w:tplc="A1DAAA4E">
      <w:start w:val="1"/>
      <w:numFmt w:val="lowerLetter"/>
      <w:lvlText w:val="%8."/>
      <w:lvlJc w:val="left"/>
      <w:pPr>
        <w:ind w:left="5760" w:hanging="360"/>
      </w:pPr>
    </w:lvl>
    <w:lvl w:ilvl="8" w:tplc="F44E031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449ED"/>
    <w:multiLevelType w:val="hybridMultilevel"/>
    <w:tmpl w:val="A498F598"/>
    <w:lvl w:ilvl="0" w:tplc="FD88D7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152E8"/>
    <w:rsid w:val="00020120"/>
    <w:rsid w:val="0004062F"/>
    <w:rsid w:val="00051694"/>
    <w:rsid w:val="000542FD"/>
    <w:rsid w:val="00070ED1"/>
    <w:rsid w:val="00075B0B"/>
    <w:rsid w:val="000776F8"/>
    <w:rsid w:val="00084868"/>
    <w:rsid w:val="0008722B"/>
    <w:rsid w:val="00096ED8"/>
    <w:rsid w:val="000A3542"/>
    <w:rsid w:val="000B625B"/>
    <w:rsid w:val="000C7FF4"/>
    <w:rsid w:val="000D1DEB"/>
    <w:rsid w:val="000D4CC6"/>
    <w:rsid w:val="000E3B65"/>
    <w:rsid w:val="000F0644"/>
    <w:rsid w:val="000F0E3D"/>
    <w:rsid w:val="001108D2"/>
    <w:rsid w:val="001260B8"/>
    <w:rsid w:val="00126A03"/>
    <w:rsid w:val="0017111D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6E47"/>
    <w:rsid w:val="002976A5"/>
    <w:rsid w:val="002A7D8B"/>
    <w:rsid w:val="002E3CE2"/>
    <w:rsid w:val="002F6AF1"/>
    <w:rsid w:val="0032063A"/>
    <w:rsid w:val="00336A6D"/>
    <w:rsid w:val="00347A44"/>
    <w:rsid w:val="0038185F"/>
    <w:rsid w:val="00383200"/>
    <w:rsid w:val="003A278F"/>
    <w:rsid w:val="003A545E"/>
    <w:rsid w:val="003D1D40"/>
    <w:rsid w:val="00410589"/>
    <w:rsid w:val="00414F24"/>
    <w:rsid w:val="00420FC7"/>
    <w:rsid w:val="0042691D"/>
    <w:rsid w:val="00443C67"/>
    <w:rsid w:val="0044584C"/>
    <w:rsid w:val="0046676E"/>
    <w:rsid w:val="004722FD"/>
    <w:rsid w:val="0048174A"/>
    <w:rsid w:val="004A6F40"/>
    <w:rsid w:val="004F455B"/>
    <w:rsid w:val="00505B6C"/>
    <w:rsid w:val="00515462"/>
    <w:rsid w:val="00530C09"/>
    <w:rsid w:val="0060031C"/>
    <w:rsid w:val="00626E7B"/>
    <w:rsid w:val="00636D21"/>
    <w:rsid w:val="00646C7F"/>
    <w:rsid w:val="006519AF"/>
    <w:rsid w:val="006531EB"/>
    <w:rsid w:val="00666167"/>
    <w:rsid w:val="00666344"/>
    <w:rsid w:val="006964AE"/>
    <w:rsid w:val="006A4805"/>
    <w:rsid w:val="006C1B2F"/>
    <w:rsid w:val="006C455B"/>
    <w:rsid w:val="006D41B9"/>
    <w:rsid w:val="00710789"/>
    <w:rsid w:val="0071183E"/>
    <w:rsid w:val="00713B3E"/>
    <w:rsid w:val="00726557"/>
    <w:rsid w:val="00734BD8"/>
    <w:rsid w:val="00745396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A4543"/>
    <w:rsid w:val="007B141C"/>
    <w:rsid w:val="007B318B"/>
    <w:rsid w:val="007C69E9"/>
    <w:rsid w:val="007F6BF5"/>
    <w:rsid w:val="008037AE"/>
    <w:rsid w:val="00834624"/>
    <w:rsid w:val="00836996"/>
    <w:rsid w:val="00861156"/>
    <w:rsid w:val="00874687"/>
    <w:rsid w:val="00877DC4"/>
    <w:rsid w:val="00881687"/>
    <w:rsid w:val="008961D8"/>
    <w:rsid w:val="008C3E55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B62D0"/>
    <w:rsid w:val="009F74BF"/>
    <w:rsid w:val="00A00ED8"/>
    <w:rsid w:val="00A302DD"/>
    <w:rsid w:val="00A57CFC"/>
    <w:rsid w:val="00A71697"/>
    <w:rsid w:val="00A747CD"/>
    <w:rsid w:val="00A74C5E"/>
    <w:rsid w:val="00AB3979"/>
    <w:rsid w:val="00AE0C1C"/>
    <w:rsid w:val="00AE2803"/>
    <w:rsid w:val="00AF4214"/>
    <w:rsid w:val="00AF54DD"/>
    <w:rsid w:val="00AF6703"/>
    <w:rsid w:val="00B05302"/>
    <w:rsid w:val="00B059FA"/>
    <w:rsid w:val="00B20124"/>
    <w:rsid w:val="00B45E13"/>
    <w:rsid w:val="00B46FC7"/>
    <w:rsid w:val="00B52EF8"/>
    <w:rsid w:val="00B66260"/>
    <w:rsid w:val="00B758C7"/>
    <w:rsid w:val="00BA2FE9"/>
    <w:rsid w:val="00BB500C"/>
    <w:rsid w:val="00BB6244"/>
    <w:rsid w:val="00C34B24"/>
    <w:rsid w:val="00C80CB2"/>
    <w:rsid w:val="00C827B0"/>
    <w:rsid w:val="00C9061A"/>
    <w:rsid w:val="00CC0CAA"/>
    <w:rsid w:val="00CF4A8F"/>
    <w:rsid w:val="00D04A9E"/>
    <w:rsid w:val="00D330DC"/>
    <w:rsid w:val="00D33DD4"/>
    <w:rsid w:val="00D46D50"/>
    <w:rsid w:val="00D71896"/>
    <w:rsid w:val="00D77B61"/>
    <w:rsid w:val="00D80C80"/>
    <w:rsid w:val="00D827AE"/>
    <w:rsid w:val="00DA391B"/>
    <w:rsid w:val="00DB1052"/>
    <w:rsid w:val="00DC4D19"/>
    <w:rsid w:val="00DE581D"/>
    <w:rsid w:val="00E02953"/>
    <w:rsid w:val="00E043CC"/>
    <w:rsid w:val="00E125C1"/>
    <w:rsid w:val="00E166C8"/>
    <w:rsid w:val="00E41430"/>
    <w:rsid w:val="00E529BD"/>
    <w:rsid w:val="00E659C8"/>
    <w:rsid w:val="00E703F6"/>
    <w:rsid w:val="00E82057"/>
    <w:rsid w:val="00E90813"/>
    <w:rsid w:val="00EB6766"/>
    <w:rsid w:val="00ED49E2"/>
    <w:rsid w:val="00EE7B80"/>
    <w:rsid w:val="00EF400F"/>
    <w:rsid w:val="00EF750A"/>
    <w:rsid w:val="00F07538"/>
    <w:rsid w:val="00F26856"/>
    <w:rsid w:val="00F31BC2"/>
    <w:rsid w:val="00F322D1"/>
    <w:rsid w:val="00F32DC8"/>
    <w:rsid w:val="00F32FC8"/>
    <w:rsid w:val="00F3549C"/>
    <w:rsid w:val="00F45211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F4983"/>
  <w15:docId w15:val="{3714FB77-0D42-4FDB-B2D3-03427E8F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6260"/>
    <w:pPr>
      <w:keepNext/>
      <w:keepLines/>
      <w:spacing w:before="480" w:line="240" w:lineRule="auto"/>
      <w:jc w:val="center"/>
      <w:outlineLvl w:val="0"/>
    </w:pPr>
    <w:rPr>
      <w:rFonts w:ascii="Arial" w:eastAsia="Arial" w:hAnsi="Arial" w:cs="Arial"/>
      <w:sz w:val="40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6260"/>
    <w:rPr>
      <w:rFonts w:ascii="Arial" w:eastAsia="Arial" w:hAnsi="Arial" w:cs="Arial"/>
      <w:sz w:val="40"/>
      <w:szCs w:val="40"/>
      <w:lang w:eastAsia="pl-PL"/>
    </w:rPr>
  </w:style>
  <w:style w:type="paragraph" w:styleId="Poprawka">
    <w:name w:val="Revision"/>
    <w:hidden/>
    <w:uiPriority w:val="99"/>
    <w:semiHidden/>
    <w:rsid w:val="00040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rcjalizacja.viacarpatia@pb.edu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tt@pollub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0E4F9-B9F5-4335-867B-74C18DCC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Ewelina Nycz-Pado</cp:lastModifiedBy>
  <cp:revision>2</cp:revision>
  <cp:lastPrinted>2024-03-05T11:09:00Z</cp:lastPrinted>
  <dcterms:created xsi:type="dcterms:W3CDTF">2024-04-03T10:15:00Z</dcterms:created>
  <dcterms:modified xsi:type="dcterms:W3CDTF">2024-04-03T10:15:00Z</dcterms:modified>
</cp:coreProperties>
</file>